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73F" w14:textId="78AC4419" w:rsidR="009B31E5" w:rsidRPr="00FE0DEC" w:rsidRDefault="00337169">
      <w:pPr>
        <w:rPr>
          <w:rFonts w:asciiTheme="minorHAnsi" w:hAnsiTheme="minorHAnsi" w:cstheme="minorHAnsi"/>
          <w:b/>
          <w:color w:val="0070C0"/>
          <w:sz w:val="30"/>
          <w:szCs w:val="30"/>
        </w:rPr>
      </w:pPr>
      <w:r w:rsidRPr="00FE0DEC">
        <w:rPr>
          <w:rFonts w:asciiTheme="minorHAnsi" w:hAnsiTheme="minorHAnsi" w:cstheme="minorHAnsi"/>
          <w:b/>
          <w:color w:val="0070C0"/>
          <w:sz w:val="30"/>
          <w:szCs w:val="30"/>
        </w:rPr>
        <w:t>Content:</w:t>
      </w:r>
    </w:p>
    <w:p w14:paraId="3F918EDC" w14:textId="77777777" w:rsidR="00647800" w:rsidRDefault="00647800" w:rsidP="000535F4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0BDDF8B0" w14:textId="1D75195E" w:rsidR="00023EC2" w:rsidRPr="00F04235" w:rsidRDefault="00740476" w:rsidP="000535F4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Smash Table Tennis </w:t>
      </w:r>
      <w:r w:rsidR="00A61516" w:rsidRPr="00F04235">
        <w:rPr>
          <w:rFonts w:asciiTheme="minorHAnsi" w:hAnsiTheme="minorHAnsi" w:cs="Tahoma"/>
          <w:bCs/>
          <w:sz w:val="22"/>
          <w:szCs w:val="22"/>
        </w:rPr>
        <w:t xml:space="preserve">expects that everyone involved with table tennis will be respected, </w:t>
      </w:r>
      <w:r w:rsidR="00023EC2" w:rsidRPr="00F04235">
        <w:rPr>
          <w:rFonts w:asciiTheme="minorHAnsi" w:hAnsiTheme="minorHAnsi" w:cs="Tahoma"/>
          <w:bCs/>
          <w:sz w:val="22"/>
          <w:szCs w:val="22"/>
        </w:rPr>
        <w:t>valued,</w:t>
      </w:r>
      <w:r w:rsidR="00A61516" w:rsidRPr="00F04235">
        <w:rPr>
          <w:rFonts w:asciiTheme="minorHAnsi" w:hAnsiTheme="minorHAnsi" w:cs="Tahoma"/>
          <w:bCs/>
          <w:sz w:val="22"/>
          <w:szCs w:val="22"/>
        </w:rPr>
        <w:t xml:space="preserve"> and</w:t>
      </w:r>
      <w:r w:rsidR="00023EC2" w:rsidRPr="00F04235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61516" w:rsidRPr="00F04235">
        <w:rPr>
          <w:rFonts w:asciiTheme="minorHAnsi" w:hAnsiTheme="minorHAnsi" w:cs="Tahoma"/>
          <w:bCs/>
          <w:sz w:val="22"/>
          <w:szCs w:val="22"/>
        </w:rPr>
        <w:t xml:space="preserve">has the right to be protected from any form of abuse.  </w:t>
      </w:r>
    </w:p>
    <w:p w14:paraId="7DC29BB6" w14:textId="77777777" w:rsidR="00023EC2" w:rsidRPr="00F04235" w:rsidRDefault="00023EC2" w:rsidP="000535F4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75D8EEF3" w14:textId="4346F9C9" w:rsidR="00A61516" w:rsidRPr="00F04235" w:rsidRDefault="00A61516" w:rsidP="000535F4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  <w:u w:val="single"/>
        </w:rPr>
        <w:t>All</w:t>
      </w:r>
      <w:r w:rsidRPr="00F04235">
        <w:rPr>
          <w:rFonts w:asciiTheme="minorHAnsi" w:hAnsiTheme="minorHAnsi" w:cs="Tahoma"/>
          <w:bCs/>
          <w:sz w:val="22"/>
          <w:szCs w:val="22"/>
        </w:rPr>
        <w:t xml:space="preserve"> table tennis officials (referees, tournament organisers and umpires) will be expected to follow this Code of Conduct at all times</w:t>
      </w:r>
      <w:r w:rsidR="00D84617" w:rsidRPr="00F04235">
        <w:rPr>
          <w:rFonts w:asciiTheme="minorHAnsi" w:hAnsiTheme="minorHAnsi" w:cs="Tahoma"/>
          <w:bCs/>
          <w:sz w:val="22"/>
          <w:szCs w:val="22"/>
        </w:rPr>
        <w:t xml:space="preserve"> and be awar</w:t>
      </w:r>
      <w:r w:rsidR="00023EC2" w:rsidRPr="00F04235">
        <w:rPr>
          <w:rFonts w:asciiTheme="minorHAnsi" w:hAnsiTheme="minorHAnsi" w:cs="Tahoma"/>
          <w:bCs/>
          <w:sz w:val="22"/>
          <w:szCs w:val="22"/>
        </w:rPr>
        <w:t>e. I</w:t>
      </w:r>
      <w:r w:rsidR="00D84617" w:rsidRPr="00F04235">
        <w:rPr>
          <w:rFonts w:asciiTheme="minorHAnsi" w:hAnsiTheme="minorHAnsi" w:cs="Tahoma"/>
          <w:bCs/>
          <w:sz w:val="22"/>
          <w:szCs w:val="22"/>
        </w:rPr>
        <w:t xml:space="preserve">n addition, at an </w:t>
      </w:r>
      <w:r w:rsidR="00023EC2" w:rsidRPr="00F04235">
        <w:rPr>
          <w:rFonts w:asciiTheme="minorHAnsi" w:hAnsiTheme="minorHAnsi" w:cs="Tahoma"/>
          <w:bCs/>
          <w:sz w:val="22"/>
          <w:szCs w:val="22"/>
        </w:rPr>
        <w:t>I</w:t>
      </w:r>
      <w:r w:rsidR="00D84617" w:rsidRPr="00F04235">
        <w:rPr>
          <w:rFonts w:asciiTheme="minorHAnsi" w:hAnsiTheme="minorHAnsi" w:cs="Tahoma"/>
          <w:bCs/>
          <w:sz w:val="22"/>
          <w:szCs w:val="22"/>
        </w:rPr>
        <w:t xml:space="preserve">nternational </w:t>
      </w:r>
      <w:r w:rsidR="00023EC2" w:rsidRPr="00F04235">
        <w:rPr>
          <w:rFonts w:asciiTheme="minorHAnsi" w:hAnsiTheme="minorHAnsi" w:cs="Tahoma"/>
          <w:bCs/>
          <w:sz w:val="22"/>
          <w:szCs w:val="22"/>
        </w:rPr>
        <w:t>C</w:t>
      </w:r>
      <w:r w:rsidR="00D84617" w:rsidRPr="00F04235">
        <w:rPr>
          <w:rFonts w:asciiTheme="minorHAnsi" w:hAnsiTheme="minorHAnsi" w:cs="Tahoma"/>
          <w:bCs/>
          <w:sz w:val="22"/>
          <w:szCs w:val="22"/>
        </w:rPr>
        <w:t>ompetition</w:t>
      </w:r>
      <w:r w:rsidR="00023EC2" w:rsidRPr="00F04235">
        <w:rPr>
          <w:rFonts w:asciiTheme="minorHAnsi" w:hAnsiTheme="minorHAnsi" w:cs="Tahoma"/>
          <w:bCs/>
          <w:sz w:val="22"/>
          <w:szCs w:val="22"/>
        </w:rPr>
        <w:t>,</w:t>
      </w:r>
      <w:r w:rsidR="00D84617" w:rsidRPr="00F04235">
        <w:rPr>
          <w:rFonts w:asciiTheme="minorHAnsi" w:hAnsiTheme="minorHAnsi" w:cs="Tahoma"/>
          <w:bCs/>
          <w:sz w:val="22"/>
          <w:szCs w:val="22"/>
        </w:rPr>
        <w:t xml:space="preserve"> Technical Officials are the guests of the host association</w:t>
      </w:r>
      <w:r w:rsidR="00023EC2" w:rsidRPr="00F04235">
        <w:rPr>
          <w:rFonts w:asciiTheme="minorHAnsi" w:hAnsiTheme="minorHAnsi" w:cs="Tahoma"/>
          <w:bCs/>
          <w:sz w:val="22"/>
          <w:szCs w:val="22"/>
        </w:rPr>
        <w:t>,</w:t>
      </w:r>
      <w:r w:rsidR="00D84617" w:rsidRPr="00F04235">
        <w:rPr>
          <w:rFonts w:asciiTheme="minorHAnsi" w:hAnsiTheme="minorHAnsi" w:cs="Tahoma"/>
          <w:bCs/>
          <w:sz w:val="22"/>
          <w:szCs w:val="22"/>
        </w:rPr>
        <w:t xml:space="preserve"> and </w:t>
      </w:r>
      <w:r w:rsidR="00D84617" w:rsidRPr="00F04235">
        <w:rPr>
          <w:rFonts w:asciiTheme="minorHAnsi" w:hAnsiTheme="minorHAnsi" w:cs="Tahoma"/>
          <w:bCs/>
          <w:i/>
          <w:iCs/>
          <w:sz w:val="22"/>
          <w:szCs w:val="22"/>
        </w:rPr>
        <w:t>must</w:t>
      </w:r>
      <w:r w:rsidR="00D84617" w:rsidRPr="00F04235">
        <w:rPr>
          <w:rFonts w:asciiTheme="minorHAnsi" w:hAnsiTheme="minorHAnsi" w:cs="Tahoma"/>
          <w:bCs/>
          <w:sz w:val="22"/>
          <w:szCs w:val="22"/>
        </w:rPr>
        <w:t xml:space="preserve"> respect its traditions and social customs</w:t>
      </w:r>
      <w:r w:rsidR="00023EC2" w:rsidRPr="00F04235">
        <w:rPr>
          <w:rFonts w:asciiTheme="minorHAnsi" w:hAnsiTheme="minorHAnsi" w:cs="Tahoma"/>
          <w:bCs/>
          <w:sz w:val="22"/>
          <w:szCs w:val="22"/>
        </w:rPr>
        <w:t>.</w:t>
      </w:r>
    </w:p>
    <w:p w14:paraId="7B674B00" w14:textId="24994760" w:rsidR="00C063F4" w:rsidRPr="00F04235" w:rsidRDefault="00C063F4" w:rsidP="000535F4">
      <w:pPr>
        <w:tabs>
          <w:tab w:val="left" w:pos="851"/>
        </w:tabs>
        <w:jc w:val="both"/>
        <w:rPr>
          <w:rFonts w:asciiTheme="minorHAnsi" w:hAnsiTheme="minorHAnsi" w:cs="Tahoma"/>
          <w:bCs/>
          <w:sz w:val="28"/>
          <w:szCs w:val="28"/>
        </w:rPr>
      </w:pPr>
    </w:p>
    <w:p w14:paraId="44004385" w14:textId="28AF449A" w:rsidR="00337169" w:rsidRPr="00FE0DEC" w:rsidRDefault="00337169" w:rsidP="000535F4">
      <w:pPr>
        <w:tabs>
          <w:tab w:val="left" w:pos="851"/>
        </w:tabs>
        <w:jc w:val="both"/>
        <w:rPr>
          <w:rFonts w:asciiTheme="minorHAnsi" w:hAnsiTheme="minorHAnsi" w:cs="Tahoma"/>
          <w:b/>
          <w:color w:val="0070C0"/>
          <w:sz w:val="28"/>
          <w:szCs w:val="28"/>
        </w:rPr>
      </w:pPr>
      <w:r w:rsidRPr="00FE0DEC">
        <w:rPr>
          <w:rFonts w:asciiTheme="minorHAnsi" w:hAnsiTheme="minorHAnsi" w:cs="Tahoma"/>
          <w:b/>
          <w:color w:val="0070C0"/>
          <w:sz w:val="28"/>
          <w:szCs w:val="28"/>
        </w:rPr>
        <w:t>Detail:</w:t>
      </w:r>
    </w:p>
    <w:p w14:paraId="640CAD95" w14:textId="77777777" w:rsidR="00337169" w:rsidRPr="00F04235" w:rsidRDefault="00337169" w:rsidP="000535F4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5627155E" w14:textId="66E78875" w:rsidR="00A61516" w:rsidRPr="00F04235" w:rsidRDefault="00A61516" w:rsidP="000535F4">
      <w:pPr>
        <w:tabs>
          <w:tab w:val="left" w:pos="851"/>
        </w:tabs>
        <w:jc w:val="both"/>
        <w:rPr>
          <w:rFonts w:asciiTheme="minorHAnsi" w:hAnsiTheme="minorHAnsi" w:cs="Tahoma"/>
          <w:bCs/>
          <w:u w:val="single"/>
        </w:rPr>
      </w:pPr>
      <w:r w:rsidRPr="00F04235">
        <w:rPr>
          <w:rFonts w:asciiTheme="minorHAnsi" w:hAnsiTheme="minorHAnsi" w:cs="Tahoma"/>
          <w:bCs/>
        </w:rPr>
        <w:t xml:space="preserve">Officials </w:t>
      </w:r>
      <w:r w:rsidRPr="00F04235">
        <w:rPr>
          <w:rFonts w:asciiTheme="minorHAnsi" w:hAnsiTheme="minorHAnsi" w:cs="Tahoma"/>
          <w:bCs/>
          <w:u w:val="single"/>
        </w:rPr>
        <w:t>will:</w:t>
      </w:r>
    </w:p>
    <w:p w14:paraId="5B6AD967" w14:textId="77777777" w:rsidR="00337169" w:rsidRPr="00F04235" w:rsidRDefault="00337169" w:rsidP="000535F4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1DDCA921" w14:textId="2D2329A6" w:rsidR="00A61516" w:rsidRPr="00F04235" w:rsidRDefault="00A61516" w:rsidP="00A61516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>Respect the rights, dignity and worth of everyone they meet in table tennis.</w:t>
      </w:r>
    </w:p>
    <w:p w14:paraId="390187FE" w14:textId="77777777" w:rsidR="00337169" w:rsidRPr="00F04235" w:rsidRDefault="00337169" w:rsidP="00337169">
      <w:pPr>
        <w:pStyle w:val="ListParagraph"/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58E04C95" w14:textId="1E93F2D4" w:rsidR="00A61516" w:rsidRPr="00F04235" w:rsidRDefault="00A61516" w:rsidP="00337169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 xml:space="preserve">Treat everyone fairly regardless of age, disability, gender, ethnic origin, religion or belief, socio-economic status, marital or civil partnership status, pregnancy or maternity status, sexual </w:t>
      </w:r>
      <w:r w:rsidR="00337169" w:rsidRPr="00F04235">
        <w:rPr>
          <w:rFonts w:asciiTheme="minorHAnsi" w:hAnsiTheme="minorHAnsi" w:cs="Tahoma"/>
          <w:bCs/>
          <w:sz w:val="22"/>
          <w:szCs w:val="22"/>
        </w:rPr>
        <w:t>orientation,</w:t>
      </w:r>
      <w:r w:rsidRPr="00F04235">
        <w:rPr>
          <w:rFonts w:asciiTheme="minorHAnsi" w:hAnsiTheme="minorHAnsi" w:cs="Tahoma"/>
          <w:bCs/>
          <w:sz w:val="22"/>
          <w:szCs w:val="22"/>
        </w:rPr>
        <w:t xml:space="preserve"> or gender reassignment</w:t>
      </w:r>
      <w:r w:rsidR="00337169" w:rsidRPr="00F04235">
        <w:rPr>
          <w:rFonts w:asciiTheme="minorHAnsi" w:hAnsiTheme="minorHAnsi" w:cs="Tahoma"/>
          <w:bCs/>
          <w:sz w:val="22"/>
          <w:szCs w:val="22"/>
        </w:rPr>
        <w:t>.</w:t>
      </w:r>
    </w:p>
    <w:p w14:paraId="2CD779A5" w14:textId="77777777" w:rsidR="00337169" w:rsidRPr="00F04235" w:rsidRDefault="00337169" w:rsidP="00337169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1FD14996" w14:textId="0F4DF64D" w:rsidR="00A61516" w:rsidRPr="00F04235" w:rsidRDefault="00A61516" w:rsidP="00A61516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>Always put players best interests at the centre of all they do.</w:t>
      </w:r>
    </w:p>
    <w:p w14:paraId="3CEE9DD9" w14:textId="77777777" w:rsidR="00337169" w:rsidRPr="00F04235" w:rsidRDefault="00337169" w:rsidP="00337169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58090F04" w14:textId="707476D8" w:rsidR="00337169" w:rsidRPr="00F04235" w:rsidRDefault="00A61516" w:rsidP="00337169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>Follow the TTE Safeguarding Guidelines and report any concerns they may have through the agreed process.</w:t>
      </w:r>
    </w:p>
    <w:p w14:paraId="3F0040F1" w14:textId="77777777" w:rsidR="00337169" w:rsidRPr="00F04235" w:rsidRDefault="00337169" w:rsidP="00337169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126ED201" w14:textId="2C2D66B5" w:rsidR="00A61516" w:rsidRPr="00F04235" w:rsidRDefault="00A61516" w:rsidP="00A61516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>Ensure they understand all the relevant rules, duties and procedures for the competition at which they are officiating.</w:t>
      </w:r>
    </w:p>
    <w:p w14:paraId="64CA0857" w14:textId="77777777" w:rsidR="00337169" w:rsidRPr="00F04235" w:rsidRDefault="00337169" w:rsidP="00337169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60916194" w14:textId="46D4F7DD" w:rsidR="00A61516" w:rsidRPr="00F04235" w:rsidRDefault="00A61516" w:rsidP="00A61516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 xml:space="preserve">Wear the appropriate uniform </w:t>
      </w:r>
      <w:r w:rsidR="00E2314A" w:rsidRPr="00F04235">
        <w:rPr>
          <w:rFonts w:asciiTheme="minorHAnsi" w:hAnsiTheme="minorHAnsi" w:cs="Tahoma"/>
          <w:bCs/>
          <w:sz w:val="22"/>
          <w:szCs w:val="22"/>
        </w:rPr>
        <w:t xml:space="preserve">as dictated by </w:t>
      </w:r>
      <w:r w:rsidR="00D84617" w:rsidRPr="00F04235">
        <w:rPr>
          <w:rFonts w:asciiTheme="minorHAnsi" w:hAnsiTheme="minorHAnsi" w:cs="Tahoma"/>
          <w:bCs/>
          <w:sz w:val="22"/>
          <w:szCs w:val="22"/>
        </w:rPr>
        <w:t>Tournament Organisers Committee (TOC)</w:t>
      </w:r>
      <w:r w:rsidR="00E2314A" w:rsidRPr="00F04235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4235">
        <w:rPr>
          <w:rFonts w:asciiTheme="minorHAnsi" w:hAnsiTheme="minorHAnsi" w:cs="Tahoma"/>
          <w:bCs/>
          <w:sz w:val="22"/>
          <w:szCs w:val="22"/>
        </w:rPr>
        <w:t>and maintain their appearance</w:t>
      </w:r>
      <w:r w:rsidR="00C52049" w:rsidRPr="00F04235">
        <w:rPr>
          <w:rFonts w:asciiTheme="minorHAnsi" w:hAnsiTheme="minorHAnsi" w:cs="Tahoma"/>
          <w:bCs/>
          <w:sz w:val="22"/>
          <w:szCs w:val="22"/>
        </w:rPr>
        <w:t xml:space="preserve">, </w:t>
      </w:r>
      <w:r w:rsidRPr="00F04235">
        <w:rPr>
          <w:rFonts w:asciiTheme="minorHAnsi" w:hAnsiTheme="minorHAnsi" w:cs="Tahoma"/>
          <w:bCs/>
          <w:sz w:val="22"/>
          <w:szCs w:val="22"/>
        </w:rPr>
        <w:t>personal hygiene and arrive promptly.</w:t>
      </w:r>
    </w:p>
    <w:p w14:paraId="7335B1FF" w14:textId="77777777" w:rsidR="00337169" w:rsidRPr="00F04235" w:rsidRDefault="00337169" w:rsidP="00337169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7488436D" w14:textId="2D3AE747" w:rsidR="00A61516" w:rsidRPr="00F04235" w:rsidRDefault="00A61516" w:rsidP="00A61516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>Maintain strict impartiality and avoid any relationship with players</w:t>
      </w:r>
      <w:r w:rsidR="00C52049" w:rsidRPr="00F04235">
        <w:rPr>
          <w:rFonts w:asciiTheme="minorHAnsi" w:hAnsiTheme="minorHAnsi" w:cs="Tahoma"/>
          <w:bCs/>
          <w:sz w:val="22"/>
          <w:szCs w:val="22"/>
        </w:rPr>
        <w:t>, coaches or families</w:t>
      </w:r>
      <w:r w:rsidR="0060112A" w:rsidRPr="00F04235">
        <w:rPr>
          <w:rFonts w:asciiTheme="minorHAnsi" w:hAnsiTheme="minorHAnsi" w:cs="Tahoma"/>
          <w:bCs/>
          <w:sz w:val="22"/>
          <w:szCs w:val="22"/>
        </w:rPr>
        <w:t xml:space="preserve"> that could bring that into disrepute.</w:t>
      </w:r>
    </w:p>
    <w:p w14:paraId="47C74A23" w14:textId="77777777" w:rsidR="00337169" w:rsidRPr="00F04235" w:rsidRDefault="00337169" w:rsidP="00337169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4F17FD7E" w14:textId="4E276B5C" w:rsidR="0060112A" w:rsidRPr="00F04235" w:rsidRDefault="0060112A" w:rsidP="00A61516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>Ensure the playing environment is safe and secure, also public and open avoiding situations where they may be alone and out of sight with individual players</w:t>
      </w:r>
      <w:r w:rsidR="00337169" w:rsidRPr="00F04235">
        <w:rPr>
          <w:rFonts w:asciiTheme="minorHAnsi" w:hAnsiTheme="minorHAnsi" w:cs="Tahoma"/>
          <w:bCs/>
          <w:sz w:val="22"/>
          <w:szCs w:val="22"/>
        </w:rPr>
        <w:t>.</w:t>
      </w:r>
    </w:p>
    <w:p w14:paraId="594E9A63" w14:textId="77777777" w:rsidR="00337169" w:rsidRPr="00F04235" w:rsidRDefault="00337169" w:rsidP="00337169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4755AA52" w14:textId="79842A45" w:rsidR="0060112A" w:rsidRPr="00F04235" w:rsidRDefault="0060112A" w:rsidP="00A61516">
      <w:pPr>
        <w:pStyle w:val="ListParagraph"/>
        <w:numPr>
          <w:ilvl w:val="0"/>
          <w:numId w:val="9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 xml:space="preserve">Respect any confidential information of which they may be </w:t>
      </w:r>
      <w:r w:rsidR="00023EC2" w:rsidRPr="00F04235">
        <w:rPr>
          <w:rFonts w:asciiTheme="minorHAnsi" w:hAnsiTheme="minorHAnsi" w:cs="Tahoma"/>
          <w:bCs/>
          <w:sz w:val="22"/>
          <w:szCs w:val="22"/>
        </w:rPr>
        <w:t>aware,</w:t>
      </w:r>
      <w:r w:rsidRPr="00F04235">
        <w:rPr>
          <w:rFonts w:asciiTheme="minorHAnsi" w:hAnsiTheme="minorHAnsi" w:cs="Tahoma"/>
          <w:bCs/>
          <w:sz w:val="22"/>
          <w:szCs w:val="22"/>
        </w:rPr>
        <w:t xml:space="preserve"> or hold relating to players and not share with others unless the immediate welfare of the player may be compromised by not sharing.</w:t>
      </w:r>
    </w:p>
    <w:p w14:paraId="60B718A7" w14:textId="51F5A9DC" w:rsidR="0060112A" w:rsidRPr="00F04235" w:rsidRDefault="0060112A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588232A3" w14:textId="0CDA3B4D" w:rsidR="00337169" w:rsidRDefault="00337169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2B21B9B6" w14:textId="47DE528F" w:rsidR="00F04235" w:rsidRDefault="00F04235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371210D1" w14:textId="4B1BE5BC" w:rsidR="00F04235" w:rsidRDefault="00F04235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084945E7" w14:textId="7E0B51E8" w:rsidR="00F04235" w:rsidRDefault="00F04235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13522AD1" w14:textId="52415F61" w:rsidR="00F04235" w:rsidRDefault="00F04235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30F4E2B5" w14:textId="3DAA04C2" w:rsidR="00F04235" w:rsidRDefault="00F04235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3E85597F" w14:textId="77777777" w:rsidR="00F04235" w:rsidRPr="00F04235" w:rsidRDefault="00F04235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6FDBC2FD" w14:textId="5CD46A41" w:rsidR="00337169" w:rsidRPr="00F04235" w:rsidRDefault="00337169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5BFD33AD" w14:textId="77777777" w:rsidR="00337169" w:rsidRPr="00F04235" w:rsidRDefault="00337169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38311986" w14:textId="50C0D1C3" w:rsidR="0060112A" w:rsidRPr="00F04235" w:rsidRDefault="0060112A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u w:val="single"/>
        </w:rPr>
      </w:pPr>
      <w:r w:rsidRPr="00F04235">
        <w:rPr>
          <w:rFonts w:asciiTheme="minorHAnsi" w:hAnsiTheme="minorHAnsi" w:cs="Tahoma"/>
          <w:bCs/>
        </w:rPr>
        <w:t xml:space="preserve">Officials </w:t>
      </w:r>
      <w:r w:rsidRPr="00F04235">
        <w:rPr>
          <w:rFonts w:asciiTheme="minorHAnsi" w:hAnsiTheme="minorHAnsi" w:cs="Tahoma"/>
          <w:bCs/>
          <w:u w:val="single"/>
        </w:rPr>
        <w:t>will not:</w:t>
      </w:r>
    </w:p>
    <w:p w14:paraId="103C071A" w14:textId="77777777" w:rsidR="00023EC2" w:rsidRPr="00F04235" w:rsidRDefault="00023EC2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5E67173F" w14:textId="046D48C1" w:rsidR="0060112A" w:rsidRPr="00F04235" w:rsidRDefault="0060112A" w:rsidP="00023EC2">
      <w:pPr>
        <w:pStyle w:val="ListParagraph"/>
        <w:numPr>
          <w:ilvl w:val="0"/>
          <w:numId w:val="12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>Ridicule, embarrass, bully or abuse players.</w:t>
      </w:r>
    </w:p>
    <w:p w14:paraId="6F8CC14B" w14:textId="77777777" w:rsidR="00023EC2" w:rsidRPr="00F04235" w:rsidRDefault="00023EC2" w:rsidP="00023EC2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5B4A0E94" w14:textId="6A449B54" w:rsidR="0060112A" w:rsidRPr="00F04235" w:rsidRDefault="0060112A" w:rsidP="00023EC2">
      <w:pPr>
        <w:pStyle w:val="ListParagraph"/>
        <w:numPr>
          <w:ilvl w:val="0"/>
          <w:numId w:val="12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 xml:space="preserve">Consume alcohol, illegal </w:t>
      </w:r>
      <w:r w:rsidR="00023EC2" w:rsidRPr="00F04235">
        <w:rPr>
          <w:rFonts w:asciiTheme="minorHAnsi" w:hAnsiTheme="minorHAnsi" w:cs="Tahoma"/>
          <w:bCs/>
          <w:sz w:val="22"/>
          <w:szCs w:val="22"/>
        </w:rPr>
        <w:t>substances,</w:t>
      </w:r>
      <w:r w:rsidRPr="00F04235">
        <w:rPr>
          <w:rFonts w:asciiTheme="minorHAnsi" w:hAnsiTheme="minorHAnsi" w:cs="Tahoma"/>
          <w:bCs/>
          <w:sz w:val="22"/>
          <w:szCs w:val="22"/>
        </w:rPr>
        <w:t xml:space="preserve"> or smoke whilst in the venue hosting the event or immediately prior to arriving at the venue.</w:t>
      </w:r>
    </w:p>
    <w:p w14:paraId="5E63D53C" w14:textId="77777777" w:rsidR="00023EC2" w:rsidRPr="00F04235" w:rsidRDefault="00023EC2" w:rsidP="00023EC2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3CB80EA7" w14:textId="04641F85" w:rsidR="0060112A" w:rsidRPr="00F04235" w:rsidRDefault="0060112A" w:rsidP="00023EC2">
      <w:pPr>
        <w:pStyle w:val="ListParagraph"/>
        <w:numPr>
          <w:ilvl w:val="0"/>
          <w:numId w:val="12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 xml:space="preserve">Accept personal gifts from players, </w:t>
      </w:r>
      <w:r w:rsidR="00023EC2" w:rsidRPr="00F04235">
        <w:rPr>
          <w:rFonts w:asciiTheme="minorHAnsi" w:hAnsiTheme="minorHAnsi" w:cs="Tahoma"/>
          <w:bCs/>
          <w:sz w:val="22"/>
          <w:szCs w:val="22"/>
        </w:rPr>
        <w:t>coaches,</w:t>
      </w:r>
      <w:r w:rsidRPr="00F04235">
        <w:rPr>
          <w:rFonts w:asciiTheme="minorHAnsi" w:hAnsiTheme="minorHAnsi" w:cs="Tahoma"/>
          <w:bCs/>
          <w:sz w:val="22"/>
          <w:szCs w:val="22"/>
        </w:rPr>
        <w:t xml:space="preserve"> or teams.</w:t>
      </w:r>
    </w:p>
    <w:p w14:paraId="0B7754AF" w14:textId="77777777" w:rsidR="00023EC2" w:rsidRPr="00F04235" w:rsidRDefault="00023EC2" w:rsidP="00023EC2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62F3EC24" w14:textId="4D91B20D" w:rsidR="0060112A" w:rsidRPr="00F04235" w:rsidRDefault="0060112A" w:rsidP="00023EC2">
      <w:pPr>
        <w:pStyle w:val="ListParagraph"/>
        <w:numPr>
          <w:ilvl w:val="0"/>
          <w:numId w:val="12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>Publicly or privately criticise other officials</w:t>
      </w:r>
      <w:r w:rsidR="00D84617" w:rsidRPr="00F04235">
        <w:rPr>
          <w:rFonts w:asciiTheme="minorHAnsi" w:hAnsiTheme="minorHAnsi" w:cs="Tahoma"/>
          <w:bCs/>
          <w:sz w:val="22"/>
          <w:szCs w:val="22"/>
        </w:rPr>
        <w:t xml:space="preserve"> or otherwise bring the sport into disrepute</w:t>
      </w:r>
      <w:r w:rsidRPr="00F04235">
        <w:rPr>
          <w:rFonts w:asciiTheme="minorHAnsi" w:hAnsiTheme="minorHAnsi" w:cs="Tahoma"/>
          <w:bCs/>
          <w:sz w:val="22"/>
          <w:szCs w:val="22"/>
        </w:rPr>
        <w:t xml:space="preserve"> including the use of social media.</w:t>
      </w:r>
    </w:p>
    <w:p w14:paraId="69688B77" w14:textId="77777777" w:rsidR="00023EC2" w:rsidRPr="00F04235" w:rsidRDefault="00023EC2" w:rsidP="00023EC2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1669958C" w14:textId="3B2C2D70" w:rsidR="0060112A" w:rsidRPr="00F04235" w:rsidRDefault="0060112A" w:rsidP="00023EC2">
      <w:pPr>
        <w:pStyle w:val="ListParagraph"/>
        <w:numPr>
          <w:ilvl w:val="0"/>
          <w:numId w:val="12"/>
        </w:num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 xml:space="preserve">Use foul, </w:t>
      </w:r>
      <w:r w:rsidR="00023EC2" w:rsidRPr="00F04235">
        <w:rPr>
          <w:rFonts w:asciiTheme="minorHAnsi" w:hAnsiTheme="minorHAnsi" w:cs="Tahoma"/>
          <w:bCs/>
          <w:sz w:val="22"/>
          <w:szCs w:val="22"/>
        </w:rPr>
        <w:t>sexist,</w:t>
      </w:r>
      <w:r w:rsidRPr="00F04235">
        <w:rPr>
          <w:rFonts w:asciiTheme="minorHAnsi" w:hAnsiTheme="minorHAnsi" w:cs="Tahoma"/>
          <w:bCs/>
          <w:sz w:val="22"/>
          <w:szCs w:val="22"/>
        </w:rPr>
        <w:t xml:space="preserve"> or racist language or any language that could cause offence including gestures at any time.</w:t>
      </w:r>
    </w:p>
    <w:p w14:paraId="48F15365" w14:textId="1019F355" w:rsidR="00023EC2" w:rsidRPr="00F04235" w:rsidRDefault="00023EC2" w:rsidP="00023EC2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4E98B854" w14:textId="77777777" w:rsidR="00023EC2" w:rsidRPr="00F04235" w:rsidRDefault="00023EC2" w:rsidP="00023EC2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7AF5EB1F" w14:textId="0F056FE8" w:rsidR="0060112A" w:rsidRPr="00F04235" w:rsidRDefault="00D84617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>TTE and the ITTF require a high standard of professionalism and conduct from its Technical Officials at all time.</w:t>
      </w:r>
      <w:r w:rsidR="00C52049" w:rsidRPr="00F04235">
        <w:rPr>
          <w:rFonts w:asciiTheme="minorHAnsi" w:hAnsiTheme="minorHAnsi" w:cs="Tahoma"/>
          <w:bCs/>
          <w:sz w:val="22"/>
          <w:szCs w:val="22"/>
        </w:rPr>
        <w:t xml:space="preserve">  </w:t>
      </w:r>
      <w:r w:rsidR="0060112A" w:rsidRPr="00F04235">
        <w:rPr>
          <w:rFonts w:asciiTheme="minorHAnsi" w:hAnsiTheme="minorHAnsi" w:cs="Tahoma"/>
          <w:bCs/>
          <w:sz w:val="22"/>
          <w:szCs w:val="22"/>
        </w:rPr>
        <w:t>Any breach of this Code of Conduct will give rise to disciplinary proceedings as set out in the TTE Disciplinary Regulations.</w:t>
      </w:r>
    </w:p>
    <w:p w14:paraId="493FE001" w14:textId="328164C6" w:rsidR="0060112A" w:rsidRPr="00F04235" w:rsidRDefault="0060112A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14:paraId="2903D4AD" w14:textId="7B9B6252" w:rsidR="0060112A" w:rsidRPr="00F04235" w:rsidRDefault="00C52049" w:rsidP="0060112A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F04235">
        <w:rPr>
          <w:rFonts w:asciiTheme="minorHAnsi" w:hAnsiTheme="minorHAnsi" w:cs="Tahoma"/>
          <w:bCs/>
          <w:sz w:val="22"/>
          <w:szCs w:val="22"/>
        </w:rPr>
        <w:t xml:space="preserve">This Code of Conduct must be read in conjunction with the Laws, Regulations and Policies of the ITTF and TTE listed below:  </w:t>
      </w:r>
    </w:p>
    <w:p w14:paraId="0A779E62" w14:textId="2A03BC31" w:rsidR="00605D81" w:rsidRPr="00F04235" w:rsidRDefault="00605D81" w:rsidP="000535F4">
      <w:pPr>
        <w:tabs>
          <w:tab w:val="left" w:pos="851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14:paraId="36C1F269" w14:textId="77777777" w:rsidR="00D84617" w:rsidRPr="00F04235" w:rsidRDefault="00D84617" w:rsidP="000535F4">
      <w:pPr>
        <w:tabs>
          <w:tab w:val="left" w:pos="851"/>
        </w:tabs>
        <w:jc w:val="both"/>
        <w:rPr>
          <w:rFonts w:asciiTheme="minorHAnsi" w:hAnsiTheme="minorHAnsi" w:cs="Tahoma"/>
          <w:bCs/>
          <w:sz w:val="22"/>
          <w:szCs w:val="22"/>
        </w:rPr>
        <w:sectPr w:rsidR="00D84617" w:rsidRPr="00F04235" w:rsidSect="00E847CB">
          <w:headerReference w:type="default" r:id="rId7"/>
          <w:footerReference w:type="default" r:id="rId8"/>
          <w:pgSz w:w="11906" w:h="16838"/>
          <w:pgMar w:top="1440" w:right="1077" w:bottom="1021" w:left="1077" w:header="709" w:footer="283" w:gutter="0"/>
          <w:cols w:space="708"/>
          <w:docGrid w:linePitch="360"/>
        </w:sectPr>
      </w:pPr>
    </w:p>
    <w:p w14:paraId="6C576C2E" w14:textId="12287FF7" w:rsidR="00605D81" w:rsidRPr="00FE0DEC" w:rsidRDefault="0060112A" w:rsidP="00023EC2">
      <w:pPr>
        <w:pStyle w:val="ListParagraph"/>
        <w:numPr>
          <w:ilvl w:val="0"/>
          <w:numId w:val="13"/>
        </w:numPr>
        <w:tabs>
          <w:tab w:val="left" w:pos="851"/>
        </w:tabs>
        <w:jc w:val="both"/>
        <w:rPr>
          <w:rFonts w:asciiTheme="minorHAnsi" w:hAnsiTheme="minorHAnsi" w:cs="Tahoma"/>
          <w:bCs/>
          <w:color w:val="0070C0"/>
          <w:sz w:val="22"/>
          <w:szCs w:val="22"/>
        </w:rPr>
      </w:pPr>
      <w:r w:rsidRPr="00FE0DEC">
        <w:rPr>
          <w:rFonts w:asciiTheme="minorHAnsi" w:hAnsiTheme="minorHAnsi" w:cs="Tahoma"/>
          <w:bCs/>
          <w:color w:val="0070C0"/>
          <w:sz w:val="22"/>
          <w:szCs w:val="22"/>
        </w:rPr>
        <w:t>Safeguarding Guidelines</w:t>
      </w:r>
    </w:p>
    <w:p w14:paraId="6DF9F04C" w14:textId="20CE000D" w:rsidR="0060112A" w:rsidRPr="00FE0DEC" w:rsidRDefault="0060112A" w:rsidP="00023EC2">
      <w:pPr>
        <w:pStyle w:val="ListParagraph"/>
        <w:numPr>
          <w:ilvl w:val="0"/>
          <w:numId w:val="13"/>
        </w:numPr>
        <w:tabs>
          <w:tab w:val="left" w:pos="851"/>
        </w:tabs>
        <w:jc w:val="both"/>
        <w:rPr>
          <w:rFonts w:asciiTheme="minorHAnsi" w:hAnsiTheme="minorHAnsi" w:cs="Tahoma"/>
          <w:bCs/>
          <w:color w:val="0070C0"/>
          <w:sz w:val="22"/>
          <w:szCs w:val="22"/>
        </w:rPr>
      </w:pPr>
      <w:r w:rsidRPr="00FE0DEC">
        <w:rPr>
          <w:rFonts w:asciiTheme="minorHAnsi" w:hAnsiTheme="minorHAnsi" w:cs="Tahoma"/>
          <w:bCs/>
          <w:color w:val="0070C0"/>
          <w:sz w:val="22"/>
          <w:szCs w:val="22"/>
        </w:rPr>
        <w:t>Players Code of Conduct</w:t>
      </w:r>
    </w:p>
    <w:p w14:paraId="7DE7B0FF" w14:textId="73B4E73C" w:rsidR="008A0364" w:rsidRPr="00904CAE" w:rsidRDefault="0060112A" w:rsidP="00904CAE">
      <w:pPr>
        <w:pStyle w:val="ListParagraph"/>
        <w:numPr>
          <w:ilvl w:val="0"/>
          <w:numId w:val="13"/>
        </w:numPr>
        <w:tabs>
          <w:tab w:val="left" w:pos="851"/>
        </w:tabs>
        <w:jc w:val="both"/>
        <w:rPr>
          <w:rFonts w:asciiTheme="minorHAnsi" w:hAnsiTheme="minorHAnsi" w:cs="Tahoma"/>
          <w:bCs/>
          <w:color w:val="0070C0"/>
          <w:sz w:val="22"/>
          <w:szCs w:val="22"/>
        </w:rPr>
      </w:pPr>
      <w:r w:rsidRPr="00FE0DEC">
        <w:rPr>
          <w:rFonts w:asciiTheme="minorHAnsi" w:hAnsiTheme="minorHAnsi" w:cs="Tahoma"/>
          <w:bCs/>
          <w:color w:val="0070C0"/>
          <w:sz w:val="22"/>
          <w:szCs w:val="22"/>
        </w:rPr>
        <w:t xml:space="preserve">Guidelines on </w:t>
      </w:r>
      <w:r w:rsidRPr="00904CAE">
        <w:rPr>
          <w:rFonts w:asciiTheme="minorHAnsi" w:hAnsiTheme="minorHAnsi" w:cstheme="minorHAnsi"/>
          <w:bCs/>
          <w:color w:val="0070C0"/>
          <w:sz w:val="22"/>
          <w:szCs w:val="22"/>
        </w:rPr>
        <w:t>the use of Social Media</w:t>
      </w:r>
      <w:r w:rsidR="00904CAE" w:rsidRPr="00904CA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, </w:t>
      </w:r>
      <w:r w:rsidR="00023EC2" w:rsidRPr="00904CA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Photography </w:t>
      </w:r>
      <w:r w:rsidR="00904CAE" w:rsidRPr="00904CA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&amp; </w:t>
      </w:r>
      <w:r w:rsidR="00904CAE" w:rsidRPr="00904CAE">
        <w:rPr>
          <w:rFonts w:asciiTheme="minorHAnsi" w:hAnsiTheme="minorHAnsi" w:cstheme="minorHAnsi"/>
          <w:bCs/>
          <w:color w:val="0070C0"/>
        </w:rPr>
        <w:t>Travel Guidelines</w:t>
      </w:r>
      <w:r w:rsidR="00904CAE">
        <w:rPr>
          <w:bCs/>
          <w:color w:val="0070C0"/>
        </w:rPr>
        <w:t xml:space="preserve"> </w:t>
      </w:r>
    </w:p>
    <w:sectPr w:rsidR="008A0364" w:rsidRPr="00904CAE" w:rsidSect="00D84617">
      <w:type w:val="continuous"/>
      <w:pgSz w:w="11906" w:h="16838"/>
      <w:pgMar w:top="1440" w:right="1077" w:bottom="102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F618" w14:textId="77777777" w:rsidR="003507FB" w:rsidRDefault="003507FB" w:rsidP="007F2FB2">
      <w:r>
        <w:separator/>
      </w:r>
    </w:p>
  </w:endnote>
  <w:endnote w:type="continuationSeparator" w:id="0">
    <w:p w14:paraId="40BFD6EC" w14:textId="77777777" w:rsidR="003507FB" w:rsidRDefault="003507FB" w:rsidP="007F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en-GB"/>
      </w:rPr>
      <w:id w:val="-738392426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</w:rPr>
    </w:sdtEndPr>
    <w:sdtContent>
      <w:p w14:paraId="7B3451C2" w14:textId="7C9FCDE4" w:rsidR="00E847CB" w:rsidRPr="00E847CB" w:rsidRDefault="00DB1A7A" w:rsidP="00E847CB">
        <w:pPr>
          <w:pStyle w:val="Footer"/>
          <w:pBdr>
            <w:top w:val="single" w:sz="4" w:space="1" w:color="D9D9D9" w:themeColor="background1" w:themeShade="D9"/>
          </w:pBdr>
          <w:rPr>
            <w:rFonts w:eastAsia="Times New Roman" w:cs="Times New Roman"/>
            <w:sz w:val="20"/>
            <w:szCs w:val="20"/>
            <w:lang w:eastAsia="en-GB"/>
          </w:rPr>
        </w:pPr>
        <w:r>
          <w:rPr>
            <w:rFonts w:eastAsia="Times New Roman" w:cs="Arial"/>
            <w:sz w:val="20"/>
            <w:szCs w:val="20"/>
            <w:lang w:eastAsia="en-GB"/>
          </w:rPr>
          <w:t xml:space="preserve">Approved by:     </w:t>
        </w:r>
        <w:r w:rsidR="00605D81">
          <w:rPr>
            <w:rFonts w:eastAsia="Times New Roman" w:cs="Arial"/>
            <w:sz w:val="20"/>
            <w:szCs w:val="20"/>
            <w:lang w:eastAsia="en-GB"/>
          </w:rPr>
          <w:t>Head of Operations &amp; Governance</w:t>
        </w:r>
        <w:r w:rsidR="00E847CB" w:rsidRPr="00EF4B44">
          <w:rPr>
            <w:rFonts w:eastAsia="Times New Roman" w:cs="Arial"/>
            <w:color w:val="FF0000"/>
            <w:sz w:val="20"/>
            <w:szCs w:val="20"/>
            <w:lang w:eastAsia="en-GB"/>
          </w:rPr>
          <w:t xml:space="preserve">    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850692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9A7612">
          <w:rPr>
            <w:rFonts w:eastAsia="Times New Roman" w:cs="Times New Roman"/>
            <w:sz w:val="20"/>
            <w:szCs w:val="20"/>
            <w:lang w:eastAsia="en-GB"/>
          </w:rPr>
          <w:t xml:space="preserve">Issue: 1  </w:t>
        </w:r>
        <w:r w:rsidR="00017D5E">
          <w:rPr>
            <w:rFonts w:eastAsia="Times New Roman" w:cs="Times New Roman"/>
            <w:sz w:val="20"/>
            <w:szCs w:val="20"/>
            <w:lang w:eastAsia="en-GB"/>
          </w:rPr>
          <w:t xml:space="preserve">              Date:  </w:t>
        </w:r>
        <w:r w:rsidR="00605D81">
          <w:rPr>
            <w:rFonts w:eastAsia="Times New Roman" w:cs="Times New Roman"/>
            <w:sz w:val="20"/>
            <w:szCs w:val="20"/>
            <w:lang w:eastAsia="en-GB"/>
          </w:rPr>
          <w:t>November</w:t>
        </w:r>
        <w:r w:rsidR="00317909">
          <w:rPr>
            <w:rFonts w:eastAsia="Times New Roman" w:cs="Times New Roman"/>
            <w:sz w:val="20"/>
            <w:szCs w:val="20"/>
            <w:lang w:eastAsia="en-GB"/>
          </w:rPr>
          <w:t xml:space="preserve"> 20</w:t>
        </w:r>
        <w:r w:rsidR="00A61516">
          <w:rPr>
            <w:rFonts w:eastAsia="Times New Roman" w:cs="Times New Roman"/>
            <w:sz w:val="20"/>
            <w:szCs w:val="20"/>
            <w:lang w:eastAsia="en-GB"/>
          </w:rPr>
          <w:t>20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       </w:t>
        </w:r>
        <w:r w:rsidR="00E847CB">
          <w:rPr>
            <w:rFonts w:eastAsia="Times New Roman" w:cs="Times New Roman"/>
            <w:sz w:val="20"/>
            <w:szCs w:val="20"/>
            <w:lang w:eastAsia="en-GB"/>
          </w:rPr>
          <w:t xml:space="preserve">  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      </w:t>
        </w:r>
        <w:r w:rsidR="00605D81">
          <w:rPr>
            <w:rFonts w:eastAsia="Times New Roman" w:cs="Times New Roman"/>
            <w:sz w:val="20"/>
            <w:szCs w:val="20"/>
            <w:lang w:eastAsia="en-GB"/>
          </w:rPr>
          <w:t xml:space="preserve"> 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begin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instrText xml:space="preserve"> PAGE   \* MERGEFORMAT </w:instrTex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separate"/>
        </w:r>
        <w:r w:rsidR="00E2314A">
          <w:rPr>
            <w:rFonts w:eastAsia="Times New Roman" w:cs="Arial"/>
            <w:noProof/>
            <w:sz w:val="20"/>
            <w:szCs w:val="20"/>
            <w:lang w:eastAsia="en-GB"/>
          </w:rPr>
          <w:t>2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end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t xml:space="preserve"> | </w:t>
        </w:r>
        <w:r w:rsidR="00E847CB" w:rsidRPr="00E847CB">
          <w:rPr>
            <w:rFonts w:eastAsia="Times New Roman" w:cs="Arial"/>
            <w:color w:val="7F7F7F" w:themeColor="background1" w:themeShade="7F"/>
            <w:spacing w:val="60"/>
            <w:sz w:val="20"/>
            <w:szCs w:val="20"/>
            <w:lang w:eastAsia="en-GB"/>
          </w:rPr>
          <w:t>Page</w:t>
        </w:r>
      </w:p>
    </w:sdtContent>
  </w:sdt>
  <w:p w14:paraId="21317E2F" w14:textId="77777777" w:rsidR="00E847CB" w:rsidRDefault="00E847CB">
    <w:pPr>
      <w:pStyle w:val="Footer"/>
    </w:pPr>
  </w:p>
  <w:p w14:paraId="02C28A8C" w14:textId="77777777" w:rsidR="00E847CB" w:rsidRDefault="00E8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6EF5" w14:textId="77777777" w:rsidR="003507FB" w:rsidRDefault="003507FB" w:rsidP="007F2FB2">
      <w:r>
        <w:separator/>
      </w:r>
    </w:p>
  </w:footnote>
  <w:footnote w:type="continuationSeparator" w:id="0">
    <w:p w14:paraId="192E8D46" w14:textId="77777777" w:rsidR="003507FB" w:rsidRDefault="003507FB" w:rsidP="007F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D27A" w14:textId="77777777" w:rsidR="007F2FB2" w:rsidRDefault="007F2FB2">
    <w:pPr>
      <w:pStyle w:val="Header"/>
    </w:pPr>
  </w:p>
  <w:tbl>
    <w:tblPr>
      <w:tblStyle w:val="TableGrid"/>
      <w:tblW w:w="9781" w:type="dxa"/>
      <w:tblInd w:w="0" w:type="dxa"/>
      <w:tblLook w:val="04A0" w:firstRow="1" w:lastRow="0" w:firstColumn="1" w:lastColumn="0" w:noHBand="0" w:noVBand="1"/>
    </w:tblPr>
    <w:tblGrid>
      <w:gridCol w:w="3402"/>
      <w:gridCol w:w="6379"/>
    </w:tblGrid>
    <w:tr w:rsidR="007F2FB2" w14:paraId="7128C678" w14:textId="77777777" w:rsidTr="000535F4">
      <w:trPr>
        <w:trHeight w:val="806"/>
      </w:trPr>
      <w:tc>
        <w:tcPr>
          <w:tcW w:w="3402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  <w:hideMark/>
        </w:tcPr>
        <w:p w14:paraId="330C69D6" w14:textId="33567416" w:rsidR="007F2FB2" w:rsidRDefault="00605D81" w:rsidP="007F2FB2">
          <w:pPr>
            <w:pStyle w:val="Header"/>
            <w:rPr>
              <w:rFonts w:ascii="Tahoma" w:hAnsi="Tahoma" w:cs="Tahoma"/>
              <w:b/>
              <w:sz w:val="28"/>
              <w:szCs w:val="28"/>
            </w:rPr>
          </w:pPr>
          <w:r w:rsidRPr="00164C56">
            <w:rPr>
              <w:noProof/>
              <w:lang w:eastAsia="en-GB"/>
            </w:rPr>
            <w:drawing>
              <wp:inline distT="0" distB="0" distL="0" distR="0" wp14:anchorId="16B0408B" wp14:editId="02A8D217">
                <wp:extent cx="990600" cy="869731"/>
                <wp:effectExtent l="0" t="0" r="0" b="698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512" cy="878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</w:tcPr>
        <w:p w14:paraId="7E451692" w14:textId="5A19E1F9" w:rsidR="00850692" w:rsidRDefault="00605D81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>TTE</w:t>
          </w:r>
          <w:r w:rsidR="00F04E6D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QMS </w:t>
          </w:r>
        </w:p>
        <w:p w14:paraId="2988A2ED" w14:textId="64EC4B2C" w:rsidR="00061811" w:rsidRPr="00061811" w:rsidRDefault="00A61516" w:rsidP="007F2FB2">
          <w:pPr>
            <w:pStyle w:val="Header"/>
            <w:jc w:val="right"/>
            <w:rPr>
              <w:rFonts w:ascii="Calibri" w:hAnsi="Calibri" w:cs="Tahoma"/>
              <w:b/>
              <w:color w:val="FF0000"/>
              <w:sz w:val="32"/>
              <w:szCs w:val="32"/>
            </w:rPr>
          </w:pPr>
          <w:r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Code of Conduct for </w:t>
          </w:r>
          <w:r w:rsidR="00C063F4" w:rsidRPr="00D84617">
            <w:rPr>
              <w:rFonts w:ascii="Calibri" w:hAnsi="Calibri" w:cs="Tahoma"/>
              <w:b/>
              <w:color w:val="FF0000"/>
              <w:sz w:val="32"/>
              <w:szCs w:val="32"/>
            </w:rPr>
            <w:t>Technical</w:t>
          </w:r>
          <w:r w:rsidR="00C063F4">
            <w:rPr>
              <w:rFonts w:ascii="Calibri" w:hAnsi="Calibri" w:cs="Tahoma"/>
              <w:b/>
              <w:color w:val="FF0000"/>
              <w:sz w:val="32"/>
              <w:szCs w:val="32"/>
            </w:rPr>
            <w:t xml:space="preserve"> </w:t>
          </w:r>
          <w:r>
            <w:rPr>
              <w:rFonts w:ascii="Calibri" w:hAnsi="Calibri" w:cs="Tahoma"/>
              <w:b/>
              <w:color w:val="FF0000"/>
              <w:sz w:val="32"/>
              <w:szCs w:val="32"/>
            </w:rPr>
            <w:t>Officials</w:t>
          </w:r>
        </w:p>
        <w:p w14:paraId="3578AA44" w14:textId="2DFEF84E" w:rsidR="007F2FB2" w:rsidRPr="007F2FB2" w:rsidRDefault="0001717D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Issue </w:t>
          </w:r>
          <w:r w:rsidR="009A7612">
            <w:rPr>
              <w:rFonts w:ascii="Calibri" w:hAnsi="Calibri" w:cs="Tahoma"/>
              <w:b/>
              <w:color w:val="0070C0"/>
              <w:sz w:val="32"/>
              <w:szCs w:val="32"/>
            </w:rPr>
            <w:t>1</w:t>
          </w:r>
          <w:r w:rsidR="007F2FB2" w:rsidRPr="007F2FB2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 </w:t>
          </w:r>
        </w:p>
      </w:tc>
    </w:tr>
  </w:tbl>
  <w:p w14:paraId="4452ECA5" w14:textId="77777777" w:rsidR="007F2FB2" w:rsidRDefault="007F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1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474FA"/>
    <w:multiLevelType w:val="hybridMultilevel"/>
    <w:tmpl w:val="F9F61E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35B5A"/>
    <w:multiLevelType w:val="singleLevel"/>
    <w:tmpl w:val="86BE97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3" w15:restartNumberingAfterBreak="0">
    <w:nsid w:val="33F32654"/>
    <w:multiLevelType w:val="hybridMultilevel"/>
    <w:tmpl w:val="2BB8B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00BD"/>
    <w:multiLevelType w:val="hybridMultilevel"/>
    <w:tmpl w:val="B87E5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C21C04"/>
    <w:multiLevelType w:val="hybridMultilevel"/>
    <w:tmpl w:val="128287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41B6F"/>
    <w:multiLevelType w:val="hybridMultilevel"/>
    <w:tmpl w:val="40FC7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D5572"/>
    <w:multiLevelType w:val="singleLevel"/>
    <w:tmpl w:val="4A40F5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9" w15:restartNumberingAfterBreak="0">
    <w:nsid w:val="5EE53EA8"/>
    <w:multiLevelType w:val="hybridMultilevel"/>
    <w:tmpl w:val="ECBEF0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17D8"/>
    <w:multiLevelType w:val="hybridMultilevel"/>
    <w:tmpl w:val="DAB8884E"/>
    <w:lvl w:ilvl="0" w:tplc="2C66A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E827A2"/>
    <w:multiLevelType w:val="hybridMultilevel"/>
    <w:tmpl w:val="786AF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C050D"/>
    <w:multiLevelType w:val="hybridMultilevel"/>
    <w:tmpl w:val="E76C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B2"/>
    <w:rsid w:val="0001717D"/>
    <w:rsid w:val="00017D5E"/>
    <w:rsid w:val="00023EC2"/>
    <w:rsid w:val="00035B63"/>
    <w:rsid w:val="00040E55"/>
    <w:rsid w:val="000535F4"/>
    <w:rsid w:val="00061811"/>
    <w:rsid w:val="00086EAA"/>
    <w:rsid w:val="000B7D2B"/>
    <w:rsid w:val="000F1CED"/>
    <w:rsid w:val="00115D4C"/>
    <w:rsid w:val="00170276"/>
    <w:rsid w:val="001E3B95"/>
    <w:rsid w:val="00203806"/>
    <w:rsid w:val="0022512C"/>
    <w:rsid w:val="00253D00"/>
    <w:rsid w:val="00256442"/>
    <w:rsid w:val="0025765E"/>
    <w:rsid w:val="00317909"/>
    <w:rsid w:val="0032650A"/>
    <w:rsid w:val="00337169"/>
    <w:rsid w:val="003507FB"/>
    <w:rsid w:val="003662BE"/>
    <w:rsid w:val="003933F0"/>
    <w:rsid w:val="003A0EDB"/>
    <w:rsid w:val="003D4955"/>
    <w:rsid w:val="003D54A4"/>
    <w:rsid w:val="003F42E9"/>
    <w:rsid w:val="003F4E5D"/>
    <w:rsid w:val="00405401"/>
    <w:rsid w:val="00421C58"/>
    <w:rsid w:val="00426398"/>
    <w:rsid w:val="00436AA8"/>
    <w:rsid w:val="00440769"/>
    <w:rsid w:val="00447ACE"/>
    <w:rsid w:val="00463D7F"/>
    <w:rsid w:val="0046401D"/>
    <w:rsid w:val="004A12EF"/>
    <w:rsid w:val="004B2AF1"/>
    <w:rsid w:val="004D135E"/>
    <w:rsid w:val="005175F6"/>
    <w:rsid w:val="0053438D"/>
    <w:rsid w:val="00534BE4"/>
    <w:rsid w:val="00561392"/>
    <w:rsid w:val="005D2C36"/>
    <w:rsid w:val="005E6490"/>
    <w:rsid w:val="0060112A"/>
    <w:rsid w:val="00605D81"/>
    <w:rsid w:val="00647800"/>
    <w:rsid w:val="006B6F44"/>
    <w:rsid w:val="007338C2"/>
    <w:rsid w:val="00740476"/>
    <w:rsid w:val="0079454F"/>
    <w:rsid w:val="007B7BB0"/>
    <w:rsid w:val="007C447C"/>
    <w:rsid w:val="007E11B0"/>
    <w:rsid w:val="007E2042"/>
    <w:rsid w:val="007F2FB2"/>
    <w:rsid w:val="00850692"/>
    <w:rsid w:val="00863653"/>
    <w:rsid w:val="008772DD"/>
    <w:rsid w:val="008A0364"/>
    <w:rsid w:val="00904CAE"/>
    <w:rsid w:val="00933663"/>
    <w:rsid w:val="00953634"/>
    <w:rsid w:val="00980E5F"/>
    <w:rsid w:val="009900F7"/>
    <w:rsid w:val="009A7612"/>
    <w:rsid w:val="009C6E9B"/>
    <w:rsid w:val="009D07D3"/>
    <w:rsid w:val="009E762A"/>
    <w:rsid w:val="00A07E8C"/>
    <w:rsid w:val="00A344C8"/>
    <w:rsid w:val="00A47EEC"/>
    <w:rsid w:val="00A61516"/>
    <w:rsid w:val="00B10309"/>
    <w:rsid w:val="00B30E9B"/>
    <w:rsid w:val="00B70D5B"/>
    <w:rsid w:val="00B8259F"/>
    <w:rsid w:val="00BC5779"/>
    <w:rsid w:val="00BC69AF"/>
    <w:rsid w:val="00BE3BCE"/>
    <w:rsid w:val="00C063F4"/>
    <w:rsid w:val="00C52049"/>
    <w:rsid w:val="00C7712B"/>
    <w:rsid w:val="00D07D51"/>
    <w:rsid w:val="00D459A8"/>
    <w:rsid w:val="00D84617"/>
    <w:rsid w:val="00DA184E"/>
    <w:rsid w:val="00DB1A7A"/>
    <w:rsid w:val="00DF1BEB"/>
    <w:rsid w:val="00E14E74"/>
    <w:rsid w:val="00E2314A"/>
    <w:rsid w:val="00E4062B"/>
    <w:rsid w:val="00E50DF2"/>
    <w:rsid w:val="00E51EB3"/>
    <w:rsid w:val="00E847CB"/>
    <w:rsid w:val="00EF4B44"/>
    <w:rsid w:val="00F04235"/>
    <w:rsid w:val="00F04E6D"/>
    <w:rsid w:val="00F577CC"/>
    <w:rsid w:val="00F606DE"/>
    <w:rsid w:val="00F72638"/>
    <w:rsid w:val="00F81FC6"/>
    <w:rsid w:val="00F90646"/>
    <w:rsid w:val="00FA6A23"/>
    <w:rsid w:val="00FC75A4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D2D33"/>
  <w15:chartTrackingRefBased/>
  <w15:docId w15:val="{0C4200A1-C627-472F-9AF6-473C6A1F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2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E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184E"/>
    <w:pPr>
      <w:keepNext/>
      <w:tabs>
        <w:tab w:val="left" w:pos="864"/>
      </w:tabs>
      <w:spacing w:before="240" w:after="60"/>
      <w:jc w:val="both"/>
      <w:outlineLvl w:val="2"/>
    </w:pPr>
    <w:rPr>
      <w:rFonts w:ascii="Arial" w:hAnsi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2FB2"/>
  </w:style>
  <w:style w:type="paragraph" w:styleId="Footer">
    <w:name w:val="footer"/>
    <w:basedOn w:val="Normal"/>
    <w:link w:val="Foot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2FB2"/>
  </w:style>
  <w:style w:type="table" w:styleId="TableGrid">
    <w:name w:val="Table Grid"/>
    <w:basedOn w:val="TableNormal"/>
    <w:uiPriority w:val="59"/>
    <w:rsid w:val="007F2F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401"/>
    <w:pPr>
      <w:spacing w:after="0" w:line="240" w:lineRule="auto"/>
    </w:pPr>
  </w:style>
  <w:style w:type="paragraph" w:customStyle="1" w:styleId="DefaultText">
    <w:name w:val="Default Text"/>
    <w:basedOn w:val="Normal"/>
    <w:rsid w:val="00A344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DA184E"/>
    <w:rPr>
      <w:rFonts w:ascii="Arial" w:eastAsia="Times New Roman" w:hAnsi="Arial" w:cs="Times New Roman"/>
      <w:sz w:val="23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QAHead">
    <w:name w:val="QA_Head"/>
    <w:basedOn w:val="Normal"/>
    <w:rsid w:val="00E51EB3"/>
    <w:pPr>
      <w:pBdr>
        <w:bottom w:val="single" w:sz="4" w:space="0" w:color="000000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val="en-US" w:eastAsia="en-GB"/>
    </w:rPr>
  </w:style>
  <w:style w:type="paragraph" w:customStyle="1" w:styleId="TableText">
    <w:name w:val="Table Text"/>
    <w:basedOn w:val="Normal"/>
    <w:rsid w:val="00E51EB3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customStyle="1" w:styleId="Bullet1">
    <w:name w:val="Bullet 1"/>
    <w:basedOn w:val="Normal"/>
    <w:rsid w:val="00E51E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605D8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5D81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A6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Lewis</dc:creator>
  <cp:keywords/>
  <dc:description/>
  <cp:lastModifiedBy>henry arthur</cp:lastModifiedBy>
  <cp:revision>2</cp:revision>
  <cp:lastPrinted>2020-11-19T11:50:00Z</cp:lastPrinted>
  <dcterms:created xsi:type="dcterms:W3CDTF">2022-03-21T21:33:00Z</dcterms:created>
  <dcterms:modified xsi:type="dcterms:W3CDTF">2022-03-21T21:33:00Z</dcterms:modified>
</cp:coreProperties>
</file>