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A585" w14:textId="46BB54ED" w:rsidR="008A0364" w:rsidRPr="00CF0B1C" w:rsidRDefault="004915D2" w:rsidP="00C530DD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CF0B1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Content: </w:t>
      </w:r>
    </w:p>
    <w:p w14:paraId="1B073D5F" w14:textId="2F976D0A" w:rsidR="000A0849" w:rsidRDefault="007F7000" w:rsidP="005D32DA">
      <w:pPr>
        <w:pStyle w:val="NoSpacing"/>
      </w:pPr>
      <w:r>
        <w:t>Smash Table Tennis</w:t>
      </w:r>
      <w:r w:rsidR="008E0F74">
        <w:t xml:space="preserve"> </w:t>
      </w:r>
      <w:r w:rsidR="005E2B99">
        <w:t xml:space="preserve">commits to its </w:t>
      </w:r>
      <w:r w:rsidR="008E0F74">
        <w:t>duty of care to safeguard and protect the welfare of children and adults at risk</w:t>
      </w:r>
      <w:r w:rsidR="0036595B">
        <w:t xml:space="preserve"> and is committed </w:t>
      </w:r>
      <w:r w:rsidR="000B5E0F">
        <w:t>to ensuring good practice</w:t>
      </w:r>
      <w:r w:rsidR="0061266F">
        <w:t xml:space="preserve"> throughout the </w:t>
      </w:r>
      <w:r w:rsidR="00D16264">
        <w:t>Association</w:t>
      </w:r>
      <w:r w:rsidR="0061266F">
        <w:t xml:space="preserve">. </w:t>
      </w:r>
      <w:r w:rsidR="00020C72">
        <w:t xml:space="preserve"> It recognises that the welfare of the child is paramount </w:t>
      </w:r>
      <w:r w:rsidR="00A47904">
        <w:t>and aims</w:t>
      </w:r>
      <w:r w:rsidR="00BE27AF">
        <w:t xml:space="preserve"> to promote a positive and </w:t>
      </w:r>
      <w:r w:rsidR="00853866">
        <w:t>enjoyable experience for all whilst focusing on a child centred</w:t>
      </w:r>
      <w:r w:rsidR="00F73AD8">
        <w:t xml:space="preserve"> safe environment.</w:t>
      </w:r>
      <w:r w:rsidR="00A47904">
        <w:t xml:space="preserve"> </w:t>
      </w:r>
    </w:p>
    <w:p w14:paraId="6177B6FA" w14:textId="2DB4AE53" w:rsidR="000A0849" w:rsidRDefault="000A0849" w:rsidP="005D32DA">
      <w:pPr>
        <w:pStyle w:val="NoSpacing"/>
      </w:pPr>
    </w:p>
    <w:p w14:paraId="07906A6A" w14:textId="60CF9AC8" w:rsidR="004915D2" w:rsidRPr="00CF0B1C" w:rsidRDefault="004915D2" w:rsidP="005D32DA">
      <w:pPr>
        <w:pStyle w:val="NoSpacing"/>
        <w:rPr>
          <w:b/>
          <w:bCs/>
          <w:color w:val="0070C0"/>
          <w:sz w:val="28"/>
          <w:szCs w:val="28"/>
        </w:rPr>
      </w:pPr>
      <w:r w:rsidRPr="00CF0B1C">
        <w:rPr>
          <w:b/>
          <w:bCs/>
          <w:color w:val="0070C0"/>
          <w:sz w:val="28"/>
          <w:szCs w:val="28"/>
        </w:rPr>
        <w:t>Detail:</w:t>
      </w:r>
    </w:p>
    <w:p w14:paraId="5A1270CB" w14:textId="77777777" w:rsidR="004915D2" w:rsidRPr="004915D2" w:rsidRDefault="004915D2" w:rsidP="005D32DA">
      <w:pPr>
        <w:pStyle w:val="NoSpacing"/>
        <w:rPr>
          <w:sz w:val="6"/>
          <w:szCs w:val="6"/>
        </w:rPr>
      </w:pPr>
    </w:p>
    <w:p w14:paraId="3909A9C3" w14:textId="4D21BEA9" w:rsidR="00685874" w:rsidRDefault="0062053D" w:rsidP="005D32DA">
      <w:pPr>
        <w:pStyle w:val="NoSpacing"/>
      </w:pPr>
      <w:r>
        <w:t xml:space="preserve">In order to achieve </w:t>
      </w:r>
      <w:r w:rsidR="003E1297">
        <w:t>this,</w:t>
      </w:r>
      <w:r w:rsidR="001E0D44">
        <w:t xml:space="preserve"> </w:t>
      </w:r>
      <w:r w:rsidR="005E2B99">
        <w:t>we shall ensure:</w:t>
      </w:r>
    </w:p>
    <w:p w14:paraId="7245520E" w14:textId="1550E5F2" w:rsidR="00401578" w:rsidRPr="00571E9D" w:rsidRDefault="00401578" w:rsidP="00571E9D">
      <w:pPr>
        <w:rPr>
          <w:rFonts w:asciiTheme="minorHAnsi" w:hAnsiTheme="minorHAnsi"/>
          <w:sz w:val="22"/>
          <w:szCs w:val="22"/>
        </w:rPr>
      </w:pPr>
    </w:p>
    <w:p w14:paraId="411081E7" w14:textId="31F01936" w:rsidR="00401578" w:rsidRPr="006F4554" w:rsidRDefault="00401578" w:rsidP="0040157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F4554">
        <w:rPr>
          <w:rFonts w:asciiTheme="minorHAnsi" w:hAnsiTheme="minorHAnsi"/>
          <w:sz w:val="22"/>
          <w:szCs w:val="22"/>
        </w:rPr>
        <w:t>All allegations will be taken</w:t>
      </w:r>
      <w:r w:rsidR="00775551">
        <w:rPr>
          <w:rFonts w:asciiTheme="minorHAnsi" w:hAnsiTheme="minorHAnsi"/>
          <w:sz w:val="22"/>
          <w:szCs w:val="22"/>
        </w:rPr>
        <w:t xml:space="preserve"> </w:t>
      </w:r>
      <w:r w:rsidR="003E1297" w:rsidRPr="006F4554">
        <w:rPr>
          <w:rFonts w:asciiTheme="minorHAnsi" w:hAnsiTheme="minorHAnsi"/>
          <w:sz w:val="22"/>
          <w:szCs w:val="22"/>
        </w:rPr>
        <w:t>seriously,</w:t>
      </w:r>
      <w:r w:rsidRPr="006F4554">
        <w:rPr>
          <w:rFonts w:asciiTheme="minorHAnsi" w:hAnsiTheme="minorHAnsi"/>
          <w:sz w:val="22"/>
          <w:szCs w:val="22"/>
        </w:rPr>
        <w:t xml:space="preserve"> and any reports of concerns will be dealt with promptly and sensitively ensuring all appropriate action is taken.</w:t>
      </w:r>
    </w:p>
    <w:p w14:paraId="31545B94" w14:textId="77E460EB" w:rsidR="00401578" w:rsidRPr="006F4554" w:rsidRDefault="00744158" w:rsidP="0040157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Anyone involved in table tennis</w:t>
      </w:r>
      <w:r w:rsidR="00B03C3A">
        <w:rPr>
          <w:rFonts w:asciiTheme="minorHAnsi" w:hAnsiTheme="minorHAnsi"/>
          <w:sz w:val="22"/>
          <w:szCs w:val="22"/>
        </w:rPr>
        <w:t xml:space="preserve"> </w:t>
      </w:r>
      <w:r w:rsidR="0062469E">
        <w:rPr>
          <w:rFonts w:asciiTheme="minorHAnsi" w:hAnsiTheme="minorHAnsi"/>
          <w:sz w:val="22"/>
          <w:szCs w:val="22"/>
        </w:rPr>
        <w:t xml:space="preserve">will </w:t>
      </w:r>
      <w:r w:rsidR="00401578" w:rsidRPr="006F4554">
        <w:rPr>
          <w:rFonts w:asciiTheme="minorHAnsi" w:hAnsiTheme="minorHAnsi"/>
          <w:sz w:val="22"/>
          <w:szCs w:val="22"/>
        </w:rPr>
        <w:t>recogni</w:t>
      </w:r>
      <w:r w:rsidR="0035582D">
        <w:rPr>
          <w:rFonts w:asciiTheme="minorHAnsi" w:hAnsiTheme="minorHAnsi"/>
          <w:sz w:val="22"/>
          <w:szCs w:val="22"/>
        </w:rPr>
        <w:t>s</w:t>
      </w:r>
      <w:r w:rsidR="00401578" w:rsidRPr="006F4554">
        <w:rPr>
          <w:rFonts w:asciiTheme="minorHAnsi" w:hAnsiTheme="minorHAnsi"/>
          <w:sz w:val="22"/>
          <w:szCs w:val="22"/>
        </w:rPr>
        <w:t>e they have the responsibility to ensure that they act upon any concerns or allegations.</w:t>
      </w:r>
    </w:p>
    <w:p w14:paraId="0C49FC62" w14:textId="1FD82FDB" w:rsidR="00401578" w:rsidRPr="006F4554" w:rsidRDefault="00401578" w:rsidP="0040157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F4554">
        <w:rPr>
          <w:rFonts w:asciiTheme="minorHAnsi" w:hAnsiTheme="minorHAnsi"/>
          <w:sz w:val="22"/>
          <w:szCs w:val="22"/>
        </w:rPr>
        <w:t>Processes for dealing with all complaints and allegations are fair and open to challenge through the appeals process.</w:t>
      </w:r>
      <w:r w:rsidR="00F56941">
        <w:rPr>
          <w:rFonts w:asciiTheme="minorHAnsi" w:hAnsiTheme="minorHAnsi"/>
          <w:sz w:val="22"/>
          <w:szCs w:val="22"/>
        </w:rPr>
        <w:t xml:space="preserve"> </w:t>
      </w:r>
    </w:p>
    <w:p w14:paraId="0D63F73F" w14:textId="458C8CE1" w:rsidR="00401578" w:rsidRPr="006F4554" w:rsidRDefault="0080659D" w:rsidP="0040157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01578" w:rsidRPr="006F4554">
        <w:rPr>
          <w:rFonts w:asciiTheme="minorHAnsi" w:hAnsiTheme="minorHAnsi"/>
          <w:sz w:val="22"/>
          <w:szCs w:val="22"/>
        </w:rPr>
        <w:t>nyone who, in good faith, reports their concerns</w:t>
      </w:r>
      <w:r w:rsidR="002A65AB">
        <w:rPr>
          <w:rFonts w:asciiTheme="minorHAnsi" w:hAnsiTheme="minorHAnsi"/>
          <w:sz w:val="22"/>
          <w:szCs w:val="22"/>
        </w:rPr>
        <w:t xml:space="preserve"> will be supported</w:t>
      </w:r>
      <w:r w:rsidR="00401578" w:rsidRPr="006F4554">
        <w:rPr>
          <w:rFonts w:asciiTheme="minorHAnsi" w:hAnsiTheme="minorHAnsi"/>
          <w:sz w:val="22"/>
          <w:szCs w:val="22"/>
        </w:rPr>
        <w:t>.</w:t>
      </w:r>
    </w:p>
    <w:p w14:paraId="4F10F5D7" w14:textId="2D7DD692" w:rsidR="00401578" w:rsidRDefault="0080659D" w:rsidP="0040157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01578" w:rsidRPr="006F4554">
        <w:rPr>
          <w:rFonts w:asciiTheme="minorHAnsi" w:hAnsiTheme="minorHAnsi"/>
          <w:sz w:val="22"/>
          <w:szCs w:val="22"/>
        </w:rPr>
        <w:t>ll members</w:t>
      </w:r>
      <w:r w:rsidR="00E93FE7">
        <w:rPr>
          <w:rFonts w:asciiTheme="minorHAnsi" w:hAnsiTheme="minorHAnsi"/>
          <w:sz w:val="22"/>
          <w:szCs w:val="22"/>
        </w:rPr>
        <w:t xml:space="preserve">, clubs, </w:t>
      </w:r>
      <w:r w:rsidR="0035582D">
        <w:rPr>
          <w:rFonts w:asciiTheme="minorHAnsi" w:hAnsiTheme="minorHAnsi"/>
          <w:sz w:val="22"/>
          <w:szCs w:val="22"/>
        </w:rPr>
        <w:t>leagues,</w:t>
      </w:r>
      <w:r w:rsidR="00E93FE7">
        <w:rPr>
          <w:rFonts w:asciiTheme="minorHAnsi" w:hAnsiTheme="minorHAnsi"/>
          <w:sz w:val="22"/>
          <w:szCs w:val="22"/>
        </w:rPr>
        <w:t xml:space="preserve"> </w:t>
      </w:r>
      <w:r w:rsidR="007B43D7">
        <w:rPr>
          <w:rFonts w:asciiTheme="minorHAnsi" w:hAnsiTheme="minorHAnsi"/>
          <w:sz w:val="22"/>
          <w:szCs w:val="22"/>
        </w:rPr>
        <w:t>and counties</w:t>
      </w:r>
      <w:r>
        <w:rPr>
          <w:rFonts w:asciiTheme="minorHAnsi" w:hAnsiTheme="minorHAnsi"/>
          <w:sz w:val="22"/>
          <w:szCs w:val="22"/>
        </w:rPr>
        <w:t xml:space="preserve"> </w:t>
      </w:r>
      <w:r w:rsidR="00604DD8">
        <w:rPr>
          <w:rFonts w:asciiTheme="minorHAnsi" w:hAnsiTheme="minorHAnsi"/>
          <w:sz w:val="22"/>
          <w:szCs w:val="22"/>
        </w:rPr>
        <w:t xml:space="preserve">will </w:t>
      </w:r>
      <w:r w:rsidR="00401578" w:rsidRPr="006F4554">
        <w:rPr>
          <w:rFonts w:asciiTheme="minorHAnsi" w:hAnsiTheme="minorHAnsi"/>
          <w:sz w:val="22"/>
          <w:szCs w:val="22"/>
        </w:rPr>
        <w:t>adopt and abide by Table Tennis England’s Safeguarding Guidelines.</w:t>
      </w:r>
    </w:p>
    <w:p w14:paraId="3EA94188" w14:textId="71C71DA2" w:rsidR="00401578" w:rsidRPr="00775551" w:rsidRDefault="0087722A" w:rsidP="005D32DA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Signpost people to </w:t>
      </w:r>
      <w:r w:rsidR="00D51463">
        <w:rPr>
          <w:rFonts w:asciiTheme="minorHAnsi" w:hAnsiTheme="minorHAnsi"/>
          <w:sz w:val="22"/>
          <w:szCs w:val="22"/>
        </w:rPr>
        <w:t xml:space="preserve">appropriate support and </w:t>
      </w:r>
      <w:r w:rsidR="00587809">
        <w:rPr>
          <w:rFonts w:asciiTheme="minorHAnsi" w:hAnsiTheme="minorHAnsi"/>
          <w:sz w:val="22"/>
          <w:szCs w:val="22"/>
        </w:rPr>
        <w:t xml:space="preserve">training to allow anyone involved in table tennis the ability to fulfill their role </w:t>
      </w:r>
      <w:proofErr w:type="gramStart"/>
      <w:r w:rsidR="00587809">
        <w:rPr>
          <w:rFonts w:asciiTheme="minorHAnsi" w:hAnsiTheme="minorHAnsi"/>
          <w:sz w:val="22"/>
          <w:szCs w:val="22"/>
        </w:rPr>
        <w:t>with regard to</w:t>
      </w:r>
      <w:proofErr w:type="gramEnd"/>
      <w:r w:rsidR="00587809">
        <w:rPr>
          <w:rFonts w:asciiTheme="minorHAnsi" w:hAnsiTheme="minorHAnsi"/>
          <w:sz w:val="22"/>
          <w:szCs w:val="22"/>
        </w:rPr>
        <w:t xml:space="preserve"> the protection of children and adults at risk.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99809FC" w14:textId="679B6DC8" w:rsidR="00D778EB" w:rsidRDefault="00D778EB" w:rsidP="00D778EB">
      <w:pPr>
        <w:pStyle w:val="NoSpacing"/>
      </w:pPr>
    </w:p>
    <w:p w14:paraId="109DC2CC" w14:textId="52E4137D" w:rsidR="00EE3B2A" w:rsidRDefault="00D87BC7" w:rsidP="0035582D">
      <w:pPr>
        <w:pStyle w:val="NoSpacing"/>
      </w:pPr>
      <w:r>
        <w:t>In drawing up this policy and guidelines</w:t>
      </w:r>
      <w:r w:rsidR="0087722A">
        <w:t xml:space="preserve">, </w:t>
      </w:r>
      <w:r w:rsidR="007F7000">
        <w:t xml:space="preserve">Smash Table Tennis </w:t>
      </w:r>
      <w:r w:rsidR="0087722A">
        <w:t xml:space="preserve">have followed </w:t>
      </w:r>
      <w:r>
        <w:t>Table Tennis England</w:t>
      </w:r>
      <w:r w:rsidR="0087722A">
        <w:t xml:space="preserve"> and have adopted Table Tennis England’s legislation</w:t>
      </w:r>
      <w:r>
        <w:t xml:space="preserve"> </w:t>
      </w:r>
      <w:r w:rsidR="0087722A">
        <w:t>which takes into account all</w:t>
      </w:r>
      <w:r>
        <w:t xml:space="preserve"> </w:t>
      </w:r>
      <w:r w:rsidR="00587809">
        <w:t xml:space="preserve">current legislation </w:t>
      </w:r>
      <w:r w:rsidR="00BE6EFF">
        <w:t xml:space="preserve">relating to the </w:t>
      </w:r>
      <w:r>
        <w:t xml:space="preserve">safeguarding </w:t>
      </w:r>
      <w:r w:rsidR="00BE6EFF">
        <w:t xml:space="preserve">of </w:t>
      </w:r>
      <w:r>
        <w:t>both young people and adults</w:t>
      </w:r>
      <w:r w:rsidR="00F56941">
        <w:t xml:space="preserve"> as follows:</w:t>
      </w:r>
    </w:p>
    <w:p w14:paraId="6530D9C9" w14:textId="77777777" w:rsidR="00F56941" w:rsidRDefault="00F56941" w:rsidP="0035582D">
      <w:pPr>
        <w:pStyle w:val="NoSpacing"/>
      </w:pPr>
    </w:p>
    <w:p w14:paraId="0DC9F2A3" w14:textId="77777777" w:rsidR="00F56941" w:rsidRDefault="00F56941" w:rsidP="00F56941">
      <w:pPr>
        <w:pStyle w:val="NoSpacing"/>
      </w:pPr>
      <w:r>
        <w:t>•</w:t>
      </w:r>
      <w:r>
        <w:tab/>
        <w:t>The Children Act 2004</w:t>
      </w:r>
      <w:r>
        <w:tab/>
      </w:r>
      <w:r>
        <w:tab/>
      </w:r>
      <w:r>
        <w:tab/>
      </w:r>
    </w:p>
    <w:p w14:paraId="176E1FC0" w14:textId="77777777" w:rsidR="00F56941" w:rsidRDefault="00F56941" w:rsidP="00F56941">
      <w:pPr>
        <w:pStyle w:val="NoSpacing"/>
      </w:pPr>
      <w:r>
        <w:t>•</w:t>
      </w:r>
      <w:r>
        <w:tab/>
        <w:t>The Children Act 1989</w:t>
      </w:r>
    </w:p>
    <w:p w14:paraId="76C4B5A1" w14:textId="77777777" w:rsidR="00F56941" w:rsidRDefault="00F56941" w:rsidP="00F56941">
      <w:pPr>
        <w:pStyle w:val="NoSpacing"/>
      </w:pPr>
      <w:r>
        <w:t>•</w:t>
      </w:r>
      <w:r>
        <w:tab/>
        <w:t>The Protection of Children Act 1999</w:t>
      </w:r>
    </w:p>
    <w:p w14:paraId="7378DA1F" w14:textId="77777777" w:rsidR="00F56941" w:rsidRDefault="00F56941" w:rsidP="00F56941">
      <w:pPr>
        <w:pStyle w:val="NoSpacing"/>
      </w:pPr>
      <w:r>
        <w:t>•</w:t>
      </w:r>
      <w:r>
        <w:tab/>
        <w:t>The Safeguarding of Vulnerable Groups Act 2006</w:t>
      </w:r>
    </w:p>
    <w:p w14:paraId="7E54C22E" w14:textId="77BD60C1" w:rsidR="00F56941" w:rsidRDefault="00F56941" w:rsidP="00F56941">
      <w:pPr>
        <w:pStyle w:val="NoSpacing"/>
      </w:pPr>
      <w:r>
        <w:t>•</w:t>
      </w:r>
      <w:r>
        <w:tab/>
      </w:r>
      <w:proofErr w:type="gramStart"/>
      <w:r w:rsidR="004915D2">
        <w:t>The Every</w:t>
      </w:r>
      <w:proofErr w:type="gramEnd"/>
      <w:r>
        <w:t xml:space="preserve"> Child Matters Strategy 2004</w:t>
      </w:r>
    </w:p>
    <w:p w14:paraId="14AA66B5" w14:textId="77777777" w:rsidR="00F56941" w:rsidRDefault="00F56941" w:rsidP="00F56941">
      <w:pPr>
        <w:pStyle w:val="NoSpacing"/>
      </w:pPr>
      <w:r>
        <w:t>•</w:t>
      </w:r>
      <w:r>
        <w:tab/>
        <w:t>Working Together to Safeguard Children</w:t>
      </w:r>
    </w:p>
    <w:p w14:paraId="6832FB4D" w14:textId="77777777" w:rsidR="00F56941" w:rsidRDefault="00F56941" w:rsidP="00F56941">
      <w:pPr>
        <w:pStyle w:val="NoSpacing"/>
      </w:pPr>
      <w:r>
        <w:t>•</w:t>
      </w:r>
      <w:r>
        <w:tab/>
        <w:t>The Sexual Offences Act 2003</w:t>
      </w:r>
    </w:p>
    <w:p w14:paraId="06DFB91B" w14:textId="77777777" w:rsidR="00F56941" w:rsidRDefault="00F56941" w:rsidP="00F56941">
      <w:pPr>
        <w:pStyle w:val="NoSpacing"/>
      </w:pPr>
      <w:r>
        <w:t>•</w:t>
      </w:r>
      <w:r>
        <w:tab/>
        <w:t>Human Rights Act 1998</w:t>
      </w:r>
    </w:p>
    <w:p w14:paraId="4FCCE526" w14:textId="77777777" w:rsidR="00F56941" w:rsidRDefault="00F56941" w:rsidP="00F56941">
      <w:pPr>
        <w:pStyle w:val="NoSpacing"/>
      </w:pPr>
      <w:r>
        <w:t>•</w:t>
      </w:r>
      <w:r>
        <w:tab/>
        <w:t>The Rehabilitation of Offenders Act 1974</w:t>
      </w:r>
    </w:p>
    <w:p w14:paraId="027FC052" w14:textId="77777777" w:rsidR="00F56941" w:rsidRDefault="00F56941" w:rsidP="00F56941">
      <w:pPr>
        <w:pStyle w:val="NoSpacing"/>
      </w:pPr>
      <w:r>
        <w:t>•</w:t>
      </w:r>
      <w:r>
        <w:tab/>
        <w:t>Data Protection Act 2018</w:t>
      </w:r>
    </w:p>
    <w:p w14:paraId="7A01B146" w14:textId="77777777" w:rsidR="00F56941" w:rsidRDefault="00F56941" w:rsidP="00F56941">
      <w:pPr>
        <w:pStyle w:val="NoSpacing"/>
      </w:pPr>
      <w:r>
        <w:t>•</w:t>
      </w:r>
      <w:r>
        <w:tab/>
        <w:t>Police Act 1997</w:t>
      </w:r>
    </w:p>
    <w:p w14:paraId="2DFAC012" w14:textId="77777777" w:rsidR="00F56941" w:rsidRDefault="00F56941" w:rsidP="00F56941">
      <w:pPr>
        <w:pStyle w:val="NoSpacing"/>
      </w:pPr>
      <w:r>
        <w:t>•</w:t>
      </w:r>
      <w:r>
        <w:tab/>
        <w:t>Protection of Freedoms Act 2012</w:t>
      </w:r>
    </w:p>
    <w:p w14:paraId="07A743D7" w14:textId="77777777" w:rsidR="00F56941" w:rsidRDefault="00F56941" w:rsidP="00F56941">
      <w:pPr>
        <w:pStyle w:val="NoSpacing"/>
      </w:pPr>
      <w:r>
        <w:t>•</w:t>
      </w:r>
      <w:r>
        <w:tab/>
        <w:t>The Care Act 2014</w:t>
      </w:r>
    </w:p>
    <w:p w14:paraId="36E245A7" w14:textId="77777777" w:rsidR="00F56941" w:rsidRDefault="00F56941" w:rsidP="00F56941">
      <w:pPr>
        <w:pStyle w:val="NoSpacing"/>
      </w:pPr>
      <w:r>
        <w:t>•</w:t>
      </w:r>
      <w:r>
        <w:tab/>
        <w:t>Domestic Violence, Crime and Victims (Amendment) Act 2012</w:t>
      </w:r>
    </w:p>
    <w:p w14:paraId="2196FA80" w14:textId="77777777" w:rsidR="00F56941" w:rsidRDefault="00F56941" w:rsidP="00F56941">
      <w:pPr>
        <w:pStyle w:val="NoSpacing"/>
      </w:pPr>
      <w:r>
        <w:t>•</w:t>
      </w:r>
      <w:r>
        <w:tab/>
        <w:t>The Equality Act 2010</w:t>
      </w:r>
    </w:p>
    <w:p w14:paraId="3814CA61" w14:textId="77777777" w:rsidR="00F56941" w:rsidRDefault="00F56941" w:rsidP="00F56941">
      <w:pPr>
        <w:pStyle w:val="NoSpacing"/>
      </w:pPr>
      <w:r>
        <w:t>•</w:t>
      </w:r>
      <w:r>
        <w:tab/>
        <w:t>The Safeguarding Vulnerable Groups Act 2006</w:t>
      </w:r>
    </w:p>
    <w:p w14:paraId="5A0E5079" w14:textId="77777777" w:rsidR="00F56941" w:rsidRDefault="00F56941" w:rsidP="00F56941">
      <w:pPr>
        <w:pStyle w:val="NoSpacing"/>
      </w:pPr>
      <w:r>
        <w:t>•</w:t>
      </w:r>
      <w:r>
        <w:tab/>
        <w:t>Mental Capacity Act 2005</w:t>
      </w:r>
    </w:p>
    <w:p w14:paraId="46BB4D3A" w14:textId="723229D7" w:rsidR="00F56941" w:rsidRDefault="00F56941" w:rsidP="00F56941">
      <w:pPr>
        <w:pStyle w:val="NoSpacing"/>
        <w:sectPr w:rsidR="00F56941" w:rsidSect="00F3110F">
          <w:headerReference w:type="default" r:id="rId7"/>
          <w:footerReference w:type="default" r:id="rId8"/>
          <w:pgSz w:w="11906" w:h="16838"/>
          <w:pgMar w:top="1440" w:right="1077" w:bottom="1021" w:left="1077" w:header="709" w:footer="283" w:gutter="0"/>
          <w:cols w:space="708"/>
          <w:docGrid w:linePitch="360"/>
        </w:sectPr>
      </w:pPr>
    </w:p>
    <w:p w14:paraId="381B2C55" w14:textId="421F3C45" w:rsidR="00AD2464" w:rsidRDefault="00AD2464" w:rsidP="002C2160">
      <w:pPr>
        <w:pStyle w:val="NoSpacing"/>
      </w:pPr>
    </w:p>
    <w:p w14:paraId="42DE173A" w14:textId="1771C266" w:rsidR="005F3B28" w:rsidRPr="00C530DD" w:rsidRDefault="00AD2464" w:rsidP="004915D2">
      <w:pPr>
        <w:pStyle w:val="NoSpacing"/>
      </w:pPr>
      <w:r>
        <w:t xml:space="preserve">The policy will be reviewed </w:t>
      </w:r>
      <w:r w:rsidR="00EE1451">
        <w:t xml:space="preserve">every </w:t>
      </w:r>
      <w:r w:rsidR="00467ABF">
        <w:t>two</w:t>
      </w:r>
      <w:r w:rsidR="00EE1451">
        <w:t xml:space="preserve"> years unless there are changes in legislation or government guidance</w:t>
      </w:r>
      <w:r w:rsidR="00DA3427">
        <w:t xml:space="preserve"> or as a result of any </w:t>
      </w:r>
      <w:r w:rsidR="00C822B5">
        <w:t>other significant change or event.</w:t>
      </w:r>
    </w:p>
    <w:sectPr w:rsidR="005F3B28" w:rsidRPr="00C530DD" w:rsidSect="001768BE">
      <w:type w:val="continuous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1742" w14:textId="77777777" w:rsidR="00CC7D57" w:rsidRDefault="00CC7D57" w:rsidP="007F2FB2">
      <w:r>
        <w:separator/>
      </w:r>
    </w:p>
  </w:endnote>
  <w:endnote w:type="continuationSeparator" w:id="0">
    <w:p w14:paraId="51F7BA7D" w14:textId="77777777" w:rsidR="00CC7D57" w:rsidRDefault="00CC7D57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849B553" w14:textId="72C32EF9" w:rsidR="00E847CB" w:rsidRPr="00E847CB" w:rsidRDefault="007F17F4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</w:t>
        </w:r>
        <w:r w:rsidR="007B5B6B">
          <w:rPr>
            <w:rFonts w:eastAsia="Times New Roman" w:cs="Arial"/>
            <w:sz w:val="20"/>
            <w:szCs w:val="20"/>
            <w:lang w:eastAsia="en-GB"/>
          </w:rPr>
          <w:t>Head of Operations &amp; Governance</w:t>
        </w:r>
        <w:r w:rsidR="00E847CB" w:rsidRPr="00EA4571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A4571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</w:t>
        </w:r>
        <w:r w:rsidR="0068184D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7B5B6B">
          <w:rPr>
            <w:rFonts w:eastAsia="Times New Roman" w:cs="Times New Roman"/>
            <w:sz w:val="20"/>
            <w:szCs w:val="20"/>
            <w:lang w:eastAsia="en-GB"/>
          </w:rPr>
          <w:t>November</w:t>
        </w:r>
        <w:r w:rsidR="00317909">
          <w:rPr>
            <w:rFonts w:eastAsia="Times New Roman" w:cs="Times New Roman"/>
            <w:sz w:val="20"/>
            <w:szCs w:val="20"/>
            <w:lang w:eastAsia="en-GB"/>
          </w:rPr>
          <w:t xml:space="preserve"> 2</w:t>
        </w:r>
        <w:r w:rsidR="000F48B4">
          <w:rPr>
            <w:rFonts w:eastAsia="Times New Roman" w:cs="Times New Roman"/>
            <w:sz w:val="20"/>
            <w:szCs w:val="20"/>
            <w:lang w:eastAsia="en-GB"/>
          </w:rPr>
          <w:t>020</w:t>
        </w:r>
        <w:r w:rsidR="007B5B6B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 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0F62E4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3EBE3660" w14:textId="77777777" w:rsidR="00E847CB" w:rsidRDefault="00E847CB">
    <w:pPr>
      <w:pStyle w:val="Footer"/>
    </w:pPr>
  </w:p>
  <w:p w14:paraId="2238D938" w14:textId="77777777" w:rsidR="00E847CB" w:rsidRDefault="00E847CB">
    <w:pPr>
      <w:pStyle w:val="Footer"/>
    </w:pPr>
  </w:p>
  <w:p w14:paraId="7409E429" w14:textId="77777777" w:rsidR="007272F0" w:rsidRDefault="00727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FDCD" w14:textId="77777777" w:rsidR="00CC7D57" w:rsidRDefault="00CC7D57" w:rsidP="007F2FB2">
      <w:r>
        <w:separator/>
      </w:r>
    </w:p>
  </w:footnote>
  <w:footnote w:type="continuationSeparator" w:id="0">
    <w:p w14:paraId="211CDD25" w14:textId="77777777" w:rsidR="00CC7D57" w:rsidRDefault="00CC7D57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175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4E6CA376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1A833EF7" w14:textId="67472B84" w:rsidR="007F2FB2" w:rsidRDefault="007B5B6B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305D5327" wp14:editId="074BBDBD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38134E24" w14:textId="1FB08A86" w:rsidR="0068184D" w:rsidRDefault="007B5B6B" w:rsidP="0068184D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EC4555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385CDB0" w14:textId="48D82B19" w:rsidR="00517D0B" w:rsidRPr="00517D0B" w:rsidRDefault="00517D0B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8"/>
              <w:szCs w:val="38"/>
            </w:rPr>
          </w:pPr>
          <w:r w:rsidRPr="00517D0B">
            <w:rPr>
              <w:b/>
              <w:color w:val="FF0000"/>
              <w:sz w:val="34"/>
              <w:szCs w:val="34"/>
            </w:rPr>
            <w:t>Safeguarding Policy</w:t>
          </w:r>
        </w:p>
        <w:p w14:paraId="034C61CB" w14:textId="5A665989" w:rsidR="00C65AE0" w:rsidRDefault="007F17F4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Issue</w:t>
          </w:r>
          <w:r w:rsidR="0068184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1</w:t>
          </w:r>
        </w:p>
        <w:p w14:paraId="1ED437C8" w14:textId="797D63B0" w:rsidR="007F2FB2" w:rsidRPr="007F2FB2" w:rsidRDefault="007F2FB2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</w:p>
      </w:tc>
    </w:tr>
  </w:tbl>
  <w:p w14:paraId="38C7BB5C" w14:textId="77777777" w:rsidR="007F2FB2" w:rsidRDefault="007F2FB2">
    <w:pPr>
      <w:pStyle w:val="Header"/>
    </w:pPr>
  </w:p>
  <w:p w14:paraId="0C139C7C" w14:textId="77777777" w:rsidR="007272F0" w:rsidRDefault="00727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F25"/>
    <w:multiLevelType w:val="hybridMultilevel"/>
    <w:tmpl w:val="E286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D78"/>
    <w:multiLevelType w:val="hybridMultilevel"/>
    <w:tmpl w:val="11C04C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B31"/>
    <w:multiLevelType w:val="hybridMultilevel"/>
    <w:tmpl w:val="6C487372"/>
    <w:lvl w:ilvl="0" w:tplc="71DEDDB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A444B5"/>
    <w:multiLevelType w:val="hybridMultilevel"/>
    <w:tmpl w:val="976473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A8E"/>
    <w:multiLevelType w:val="hybridMultilevel"/>
    <w:tmpl w:val="6F7C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38B42157"/>
    <w:multiLevelType w:val="hybridMultilevel"/>
    <w:tmpl w:val="8BE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5DD"/>
    <w:multiLevelType w:val="hybridMultilevel"/>
    <w:tmpl w:val="7AE661B4"/>
    <w:lvl w:ilvl="0" w:tplc="0158D8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C690B"/>
    <w:multiLevelType w:val="hybridMultilevel"/>
    <w:tmpl w:val="7CEE53BE"/>
    <w:lvl w:ilvl="0" w:tplc="614E7588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477A57"/>
    <w:multiLevelType w:val="hybridMultilevel"/>
    <w:tmpl w:val="1A06E2B8"/>
    <w:lvl w:ilvl="0" w:tplc="755E31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3" w15:restartNumberingAfterBreak="0">
    <w:nsid w:val="698E2F6A"/>
    <w:multiLevelType w:val="hybridMultilevel"/>
    <w:tmpl w:val="5B4835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BC266B"/>
    <w:multiLevelType w:val="hybridMultilevel"/>
    <w:tmpl w:val="36C0D5D8"/>
    <w:lvl w:ilvl="0" w:tplc="614E7588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61A0"/>
    <w:multiLevelType w:val="multilevel"/>
    <w:tmpl w:val="B4C2F11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C662E94"/>
    <w:multiLevelType w:val="hybridMultilevel"/>
    <w:tmpl w:val="D876DD64"/>
    <w:lvl w:ilvl="0" w:tplc="7A0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01E19"/>
    <w:multiLevelType w:val="hybridMultilevel"/>
    <w:tmpl w:val="3DF41F16"/>
    <w:lvl w:ilvl="0" w:tplc="724C69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20C72"/>
    <w:rsid w:val="00041241"/>
    <w:rsid w:val="000535F4"/>
    <w:rsid w:val="000719A9"/>
    <w:rsid w:val="00086EAA"/>
    <w:rsid w:val="000A0849"/>
    <w:rsid w:val="000B5E0F"/>
    <w:rsid w:val="000B7D2B"/>
    <w:rsid w:val="000C6FE8"/>
    <w:rsid w:val="000F1CED"/>
    <w:rsid w:val="000F48B4"/>
    <w:rsid w:val="000F62E4"/>
    <w:rsid w:val="001127FB"/>
    <w:rsid w:val="0015619C"/>
    <w:rsid w:val="00170276"/>
    <w:rsid w:val="001768BE"/>
    <w:rsid w:val="001E0D44"/>
    <w:rsid w:val="001E3B95"/>
    <w:rsid w:val="001F1061"/>
    <w:rsid w:val="00203806"/>
    <w:rsid w:val="0022561A"/>
    <w:rsid w:val="00253D00"/>
    <w:rsid w:val="00256442"/>
    <w:rsid w:val="0025765E"/>
    <w:rsid w:val="00257ADD"/>
    <w:rsid w:val="00260972"/>
    <w:rsid w:val="00277AFA"/>
    <w:rsid w:val="002851CF"/>
    <w:rsid w:val="0028659B"/>
    <w:rsid w:val="002A20E4"/>
    <w:rsid w:val="002A31D5"/>
    <w:rsid w:val="002A361C"/>
    <w:rsid w:val="002A65AB"/>
    <w:rsid w:val="002C1672"/>
    <w:rsid w:val="002C2160"/>
    <w:rsid w:val="002C2F9A"/>
    <w:rsid w:val="002D042B"/>
    <w:rsid w:val="0030316E"/>
    <w:rsid w:val="00317909"/>
    <w:rsid w:val="003272D3"/>
    <w:rsid w:val="00345C56"/>
    <w:rsid w:val="00347B7B"/>
    <w:rsid w:val="0035582D"/>
    <w:rsid w:val="0036595B"/>
    <w:rsid w:val="003662BE"/>
    <w:rsid w:val="003934F0"/>
    <w:rsid w:val="003A0EDB"/>
    <w:rsid w:val="003A2BF4"/>
    <w:rsid w:val="003B327D"/>
    <w:rsid w:val="003B34DB"/>
    <w:rsid w:val="003D0FDD"/>
    <w:rsid w:val="003D2E78"/>
    <w:rsid w:val="003D54A4"/>
    <w:rsid w:val="003E1297"/>
    <w:rsid w:val="003F42E9"/>
    <w:rsid w:val="003F4E5D"/>
    <w:rsid w:val="003F6D26"/>
    <w:rsid w:val="00401578"/>
    <w:rsid w:val="00405401"/>
    <w:rsid w:val="00411782"/>
    <w:rsid w:val="004242F7"/>
    <w:rsid w:val="00436AA8"/>
    <w:rsid w:val="00440769"/>
    <w:rsid w:val="004449A4"/>
    <w:rsid w:val="00463D7F"/>
    <w:rsid w:val="0046401D"/>
    <w:rsid w:val="00467ABF"/>
    <w:rsid w:val="004915D2"/>
    <w:rsid w:val="004A3E53"/>
    <w:rsid w:val="004B2830"/>
    <w:rsid w:val="004F1315"/>
    <w:rsid w:val="005175F6"/>
    <w:rsid w:val="00517D0B"/>
    <w:rsid w:val="0053438D"/>
    <w:rsid w:val="005536AD"/>
    <w:rsid w:val="00561392"/>
    <w:rsid w:val="00571E9D"/>
    <w:rsid w:val="00587809"/>
    <w:rsid w:val="005A0306"/>
    <w:rsid w:val="005C7E66"/>
    <w:rsid w:val="005D32DA"/>
    <w:rsid w:val="005E2B99"/>
    <w:rsid w:val="005E6490"/>
    <w:rsid w:val="005F3B28"/>
    <w:rsid w:val="00604DD8"/>
    <w:rsid w:val="0061266F"/>
    <w:rsid w:val="0062053D"/>
    <w:rsid w:val="0062469E"/>
    <w:rsid w:val="00647397"/>
    <w:rsid w:val="00674632"/>
    <w:rsid w:val="0068184D"/>
    <w:rsid w:val="00685874"/>
    <w:rsid w:val="006E47B7"/>
    <w:rsid w:val="006F0AF5"/>
    <w:rsid w:val="00700347"/>
    <w:rsid w:val="007272F0"/>
    <w:rsid w:val="007312C0"/>
    <w:rsid w:val="00744158"/>
    <w:rsid w:val="007476AB"/>
    <w:rsid w:val="00747A98"/>
    <w:rsid w:val="00775551"/>
    <w:rsid w:val="0079382A"/>
    <w:rsid w:val="0079454F"/>
    <w:rsid w:val="007B43D7"/>
    <w:rsid w:val="007B5B6B"/>
    <w:rsid w:val="007C447C"/>
    <w:rsid w:val="007E11B0"/>
    <w:rsid w:val="007E2042"/>
    <w:rsid w:val="007F17F4"/>
    <w:rsid w:val="007F2FB2"/>
    <w:rsid w:val="007F7000"/>
    <w:rsid w:val="0080659D"/>
    <w:rsid w:val="00807D64"/>
    <w:rsid w:val="008235D1"/>
    <w:rsid w:val="00850692"/>
    <w:rsid w:val="0085098B"/>
    <w:rsid w:val="00853866"/>
    <w:rsid w:val="0087722A"/>
    <w:rsid w:val="008A0364"/>
    <w:rsid w:val="008A0F02"/>
    <w:rsid w:val="008A33D5"/>
    <w:rsid w:val="008B7C06"/>
    <w:rsid w:val="008E0F74"/>
    <w:rsid w:val="008F3104"/>
    <w:rsid w:val="00901330"/>
    <w:rsid w:val="009138C5"/>
    <w:rsid w:val="00922018"/>
    <w:rsid w:val="00953634"/>
    <w:rsid w:val="00972FB8"/>
    <w:rsid w:val="00980E5F"/>
    <w:rsid w:val="00982752"/>
    <w:rsid w:val="00996CE0"/>
    <w:rsid w:val="009A4841"/>
    <w:rsid w:val="009C0C3B"/>
    <w:rsid w:val="009C6E9B"/>
    <w:rsid w:val="009D07D3"/>
    <w:rsid w:val="009E762A"/>
    <w:rsid w:val="00A02100"/>
    <w:rsid w:val="00A02C30"/>
    <w:rsid w:val="00A07E8C"/>
    <w:rsid w:val="00A344C8"/>
    <w:rsid w:val="00A47904"/>
    <w:rsid w:val="00A93D5C"/>
    <w:rsid w:val="00AB18CF"/>
    <w:rsid w:val="00AD2464"/>
    <w:rsid w:val="00AE171F"/>
    <w:rsid w:val="00B01D3E"/>
    <w:rsid w:val="00B03C3A"/>
    <w:rsid w:val="00B13560"/>
    <w:rsid w:val="00BA5DDD"/>
    <w:rsid w:val="00BC5779"/>
    <w:rsid w:val="00BE176A"/>
    <w:rsid w:val="00BE27AF"/>
    <w:rsid w:val="00BE6EFF"/>
    <w:rsid w:val="00C14009"/>
    <w:rsid w:val="00C34FDB"/>
    <w:rsid w:val="00C44D94"/>
    <w:rsid w:val="00C530DD"/>
    <w:rsid w:val="00C65AE0"/>
    <w:rsid w:val="00C7712B"/>
    <w:rsid w:val="00C822B5"/>
    <w:rsid w:val="00CC7D57"/>
    <w:rsid w:val="00CD3217"/>
    <w:rsid w:val="00CF0B1C"/>
    <w:rsid w:val="00D15A9C"/>
    <w:rsid w:val="00D16264"/>
    <w:rsid w:val="00D2734C"/>
    <w:rsid w:val="00D51463"/>
    <w:rsid w:val="00D676A8"/>
    <w:rsid w:val="00D71398"/>
    <w:rsid w:val="00D778EB"/>
    <w:rsid w:val="00D87BC7"/>
    <w:rsid w:val="00DA184E"/>
    <w:rsid w:val="00DA3427"/>
    <w:rsid w:val="00DD258E"/>
    <w:rsid w:val="00DD35A2"/>
    <w:rsid w:val="00DF118B"/>
    <w:rsid w:val="00DF1BEB"/>
    <w:rsid w:val="00E1054C"/>
    <w:rsid w:val="00E14E74"/>
    <w:rsid w:val="00E4062B"/>
    <w:rsid w:val="00E50DF2"/>
    <w:rsid w:val="00E51EB3"/>
    <w:rsid w:val="00E63ACB"/>
    <w:rsid w:val="00E6681F"/>
    <w:rsid w:val="00E847CB"/>
    <w:rsid w:val="00E93FE7"/>
    <w:rsid w:val="00EA35BE"/>
    <w:rsid w:val="00EA4571"/>
    <w:rsid w:val="00EC4555"/>
    <w:rsid w:val="00EE1451"/>
    <w:rsid w:val="00EE3B2A"/>
    <w:rsid w:val="00EF7A52"/>
    <w:rsid w:val="00F0426C"/>
    <w:rsid w:val="00F3110F"/>
    <w:rsid w:val="00F52182"/>
    <w:rsid w:val="00F56941"/>
    <w:rsid w:val="00F606DE"/>
    <w:rsid w:val="00F72638"/>
    <w:rsid w:val="00F73AD8"/>
    <w:rsid w:val="00F77DBE"/>
    <w:rsid w:val="00FA6A23"/>
    <w:rsid w:val="00FB0D09"/>
    <w:rsid w:val="00FC1D58"/>
    <w:rsid w:val="00FC3CD2"/>
    <w:rsid w:val="00FC75A4"/>
    <w:rsid w:val="00FC7BCE"/>
    <w:rsid w:val="00FE3FB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B9376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3110F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34FDB"/>
    <w:pPr>
      <w:ind w:left="720"/>
      <w:contextualSpacing/>
    </w:pPr>
    <w:rPr>
      <w:rFonts w:ascii="Calibri" w:eastAsiaTheme="minorEastAsia" w:hAnsi="Calibri" w:cstheme="minorBid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4FDB"/>
    <w:rPr>
      <w:color w:val="0563C1" w:themeColor="hyperlink"/>
      <w:u w:val="single"/>
    </w:rPr>
  </w:style>
  <w:style w:type="character" w:customStyle="1" w:styleId="rsnormal">
    <w:name w:val="rsnormal"/>
    <w:basedOn w:val="DefaultParagraphFont"/>
    <w:rsid w:val="00C34FDB"/>
  </w:style>
  <w:style w:type="character" w:styleId="CommentReference">
    <w:name w:val="annotation reference"/>
    <w:basedOn w:val="DefaultParagraphFont"/>
    <w:uiPriority w:val="99"/>
    <w:semiHidden/>
    <w:unhideWhenUsed/>
    <w:rsid w:val="00C3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FDB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FDB"/>
    <w:rPr>
      <w:rFonts w:ascii="Garamond" w:eastAsia="Times New Roman" w:hAnsi="Garamon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68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D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3FB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henry arthur</cp:lastModifiedBy>
  <cp:revision>2</cp:revision>
  <dcterms:created xsi:type="dcterms:W3CDTF">2022-03-21T21:27:00Z</dcterms:created>
  <dcterms:modified xsi:type="dcterms:W3CDTF">2022-03-21T21:27:00Z</dcterms:modified>
</cp:coreProperties>
</file>